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1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STAGE 1 </w:t>
                            </w:r>
                          </w:p>
                          <w:p w:rsidR="00F13138" w:rsidRPr="00D1659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ACADEMIC APPEAL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00671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STAGE 1 </w:t>
                      </w:r>
                    </w:p>
                    <w:p w:rsidR="00F13138" w:rsidRPr="00D1659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ACADEMIC APPEAL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9602A6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9602A6" w:rsidRPr="00BD3C45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  <w:bookmarkStart w:id="0" w:name="_GoBack"/>
            <w:bookmarkEnd w:id="0"/>
          </w:p>
          <w:p w:rsidR="00697987" w:rsidRDefault="00697987" w:rsidP="00305780">
            <w:pPr>
              <w:rPr>
                <w:b/>
                <w:color w:val="000000" w:themeColor="text1"/>
              </w:rPr>
            </w:pPr>
          </w:p>
          <w:p w:rsidR="00544EF3" w:rsidRPr="005969CD" w:rsidRDefault="00544EF3" w:rsidP="00544EF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969CD">
              <w:rPr>
                <w:b/>
                <w:color w:val="000000" w:themeColor="text1"/>
              </w:rPr>
              <w:t>Please ensure that you provide a copy of your results with your appeal. Appeals received without results will be returned</w:t>
            </w:r>
          </w:p>
          <w:p w:rsidR="00544EF3" w:rsidRPr="002A1BCD" w:rsidRDefault="00544EF3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A86481">
              <w:rPr>
                <w:b/>
                <w:color w:val="000000" w:themeColor="text1"/>
              </w:rPr>
              <w:t xml:space="preserve"> within 10 working days of the publication of Award and Progression Board results,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7A38E7" w:rsidRPr="00752E11">
                <w:rPr>
                  <w:rStyle w:val="Hyperlink"/>
                  <w:b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1701"/>
        <w:gridCol w:w="2728"/>
      </w:tblGrid>
      <w:tr w:rsidR="003376A3" w:rsidRPr="002A1BCD" w:rsidTr="00F646D5">
        <w:trPr>
          <w:trHeight w:val="42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Surname</w:t>
            </w:r>
            <w:r w:rsidR="0062736F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F646D5">
        <w:trPr>
          <w:trHeight w:val="45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F646D5">
        <w:trPr>
          <w:trHeight w:val="41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8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Faculty: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00"/>
        <w:gridCol w:w="1300"/>
        <w:gridCol w:w="1549"/>
        <w:gridCol w:w="1622"/>
        <w:gridCol w:w="2307"/>
      </w:tblGrid>
      <w:tr w:rsidR="00843A6E" w:rsidTr="00097631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assessment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Coursework deadline/date of exam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Did you submit the coursework/attempt the examination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</w:tr>
      <w:tr w:rsidR="009315CA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Pr="009315CA" w:rsidRDefault="009315CA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315CA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2FF5" w:rsidTr="00BE2FF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165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related to the overall outcome for the academic year?</w:t>
            </w:r>
          </w:p>
          <w:p w:rsidR="00E27165" w:rsidRPr="00014DCB" w:rsidRDefault="000158A6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 xml:space="preserve">(e.g. </w:t>
            </w:r>
            <w:r w:rsidR="00E27165" w:rsidRPr="00014DCB">
              <w:rPr>
                <w:i/>
                <w:color w:val="000000" w:themeColor="text1"/>
              </w:rPr>
              <w:t>you have been discontinued from your course or given a repeat year</w:t>
            </w:r>
            <w:r w:rsidRPr="00014DCB">
              <w:rPr>
                <w:i/>
                <w:color w:val="000000" w:themeColor="text1"/>
              </w:rPr>
              <w:t>)</w:t>
            </w:r>
            <w:r w:rsidR="00E27165" w:rsidRPr="00014DCB">
              <w:rPr>
                <w:i/>
                <w:color w:val="000000" w:themeColor="text1"/>
              </w:rPr>
              <w:t xml:space="preserve">   </w:t>
            </w:r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in relation to the award outcome</w:t>
            </w:r>
            <w:r w:rsidR="000158A6" w:rsidRPr="00014DCB">
              <w:rPr>
                <w:b/>
                <w:color w:val="000000" w:themeColor="text1"/>
              </w:rPr>
              <w:t>?</w:t>
            </w:r>
          </w:p>
          <w:p w:rsidR="00E27165" w:rsidRPr="00014DCB" w:rsidRDefault="000158A6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 xml:space="preserve">(e.g. </w:t>
            </w:r>
            <w:r w:rsidR="005969CD" w:rsidRPr="00014DCB">
              <w:rPr>
                <w:i/>
                <w:color w:val="000000" w:themeColor="text1"/>
              </w:rPr>
              <w:t xml:space="preserve">the </w:t>
            </w:r>
            <w:r w:rsidRPr="00014DCB">
              <w:rPr>
                <w:i/>
                <w:color w:val="000000" w:themeColor="text1"/>
              </w:rPr>
              <w:t>degree classification</w:t>
            </w:r>
            <w:r w:rsidR="00E27165" w:rsidRPr="00014DCB">
              <w:rPr>
                <w:i/>
                <w:color w:val="000000" w:themeColor="text1"/>
              </w:rPr>
              <w:t xml:space="preserve"> you were awarded</w:t>
            </w:r>
            <w:r w:rsidRPr="00014DCB">
              <w:rPr>
                <w:i/>
                <w:color w:val="000000" w:themeColor="text1"/>
              </w:rPr>
              <w:t>)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Are you due to graduate at the next graduation ceremony</w:t>
            </w:r>
            <w:r w:rsidR="000158A6" w:rsidRPr="00014DCB">
              <w:rPr>
                <w:b/>
                <w:color w:val="000000" w:themeColor="text1"/>
              </w:rPr>
              <w:t>?</w:t>
            </w:r>
            <w:r w:rsidRPr="00014DCB">
              <w:rPr>
                <w:b/>
                <w:color w:val="000000" w:themeColor="text1"/>
              </w:rPr>
              <w:t xml:space="preserve"> </w:t>
            </w:r>
          </w:p>
          <w:p w:rsidR="00E27165" w:rsidRPr="00014DCB" w:rsidRDefault="00E27165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>(please refer to the guidance notes)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D27B82" w:rsidRPr="002A1BCD" w:rsidRDefault="0083290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GROUNDS FOR APPEAL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:rsidTr="00A328D5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Pr="0044368B" w:rsidRDefault="0044368B" w:rsidP="0044368B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697987">
              <w:rPr>
                <w:b/>
                <w:color w:val="000000" w:themeColor="text1"/>
              </w:rPr>
              <w:t>Material procedural defect or irregularity which is relevant to the outcome of the academic decision</w:t>
            </w:r>
          </w:p>
        </w:tc>
      </w:tr>
      <w:tr w:rsidR="0044368B" w:rsidRPr="002A1BCD" w:rsidTr="00FD002B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A328D5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44368B">
              <w:rPr>
                <w:color w:val="000000" w:themeColor="text1"/>
              </w:rPr>
              <w:t>here has been an administrative error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:rsidTr="00FD002B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44368B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A328D5">
              <w:rPr>
                <w:color w:val="000000" w:themeColor="text1"/>
              </w:rPr>
              <w:t>roper process has not been followed in relation to the assessments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:rsidTr="00FD002B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929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29" w:rsidRPr="0044368B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A328D5">
              <w:rPr>
                <w:color w:val="000000" w:themeColor="text1"/>
              </w:rPr>
              <w:t>here were defects in the advice provided in relation to assessments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328D5" w:rsidRPr="002A1BCD" w:rsidTr="00FD002B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8D5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D5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A328D5">
              <w:rPr>
                <w:color w:val="000000" w:themeColor="text1"/>
              </w:rPr>
              <w:t>hat an academic decision was not arrived at in accordance with the regulations of the course.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328D5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F646D5" w:rsidRDefault="00607145" w:rsidP="00607145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why you f</w:t>
            </w:r>
            <w:r w:rsidR="005E42F4" w:rsidRPr="00F646D5">
              <w:rPr>
                <w:b/>
                <w:color w:val="000000" w:themeColor="text1"/>
              </w:rPr>
              <w:t>eel you have grounds for appeal:</w:t>
            </w:r>
            <w:r w:rsidRPr="00F646D5">
              <w:rPr>
                <w:b/>
                <w:color w:val="000000" w:themeColor="text1"/>
              </w:rPr>
              <w:t xml:space="preserve"> </w:t>
            </w:r>
          </w:p>
        </w:tc>
      </w:tr>
      <w:tr w:rsidR="00C42245" w:rsidRPr="00C42245" w:rsidTr="00FD002B">
        <w:trPr>
          <w:trHeight w:val="210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C34C8B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</w:t>
            </w:r>
            <w:r w:rsidR="00607145" w:rsidRPr="00607145">
              <w:rPr>
                <w:i/>
                <w:color w:val="A6A6A6" w:themeColor="background1" w:themeShade="A6"/>
              </w:rPr>
              <w:t>lease state what evidence you have attached that would support your claim that material procedural defect or irregularity has occurred and how this has impacted on your results.</w:t>
            </w:r>
          </w:p>
          <w:p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F646D5" w:rsidRDefault="007F04EE" w:rsidP="004D7118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AF694A" w:rsidRDefault="00AF694A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AF694A">
              <w:rPr>
                <w:i/>
                <w:color w:val="A6A6A6" w:themeColor="background1" w:themeShade="A6"/>
              </w:rPr>
              <w:t>Please note that an appeal will not enable your mark to be raised.</w:t>
            </w:r>
          </w:p>
        </w:tc>
      </w:tr>
    </w:tbl>
    <w:p w:rsidR="00FD002B" w:rsidRDefault="00FD002B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2D7D" w:rsidRDefault="00C36BB0" w:rsidP="009A2D7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 xml:space="preserve">Evidence attached in support of your </w:t>
            </w:r>
            <w:r w:rsidR="00EA21D7" w:rsidRPr="00F646D5">
              <w:rPr>
                <w:b/>
                <w:color w:val="000000" w:themeColor="text1"/>
              </w:rPr>
              <w:t>appeal</w:t>
            </w:r>
            <w:r w:rsidR="009A2D7D">
              <w:rPr>
                <w:b/>
                <w:color w:val="000000" w:themeColor="text1"/>
              </w:rPr>
              <w:t xml:space="preserve"> </w:t>
            </w:r>
          </w:p>
          <w:p w:rsidR="00C36BB0" w:rsidRPr="00D31BE0" w:rsidRDefault="00522BF6" w:rsidP="009A2D7D">
            <w:pPr>
              <w:rPr>
                <w:b/>
                <w:i/>
                <w:color w:val="000000" w:themeColor="text1"/>
              </w:rPr>
            </w:pPr>
            <w:r w:rsidRPr="00D31BE0">
              <w:rPr>
                <w:b/>
                <w:i/>
              </w:rPr>
              <w:t>Please refer to guidance for information about third party evidence</w:t>
            </w:r>
          </w:p>
        </w:tc>
      </w:tr>
      <w:tr w:rsidR="00C36BB0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Date of evidence:</w:t>
            </w:r>
          </w:p>
        </w:tc>
      </w:tr>
      <w:tr w:rsidR="00C36BB0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6B4610" w:rsidRDefault="006B4610" w:rsidP="006B461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SPECIFIC REQUIREMENTS</w:t>
      </w:r>
    </w:p>
    <w:p w:rsidR="006B4610" w:rsidRDefault="006B4610" w:rsidP="006B461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6B4610" w:rsidRPr="00C42245" w:rsidTr="00E65E83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4610" w:rsidRPr="00CE213A" w:rsidRDefault="006B4610" w:rsidP="00E65E83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6B4610" w:rsidRPr="00C42245" w:rsidTr="00E65E83">
        <w:trPr>
          <w:trHeight w:val="1584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610" w:rsidRPr="00453F89" w:rsidRDefault="006B4610" w:rsidP="006B4610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:rsidR="006B4610" w:rsidRDefault="006B4610" w:rsidP="008A7E9C">
      <w:pPr>
        <w:rPr>
          <w:b/>
          <w:color w:val="000000" w:themeColor="text1"/>
        </w:rPr>
      </w:pPr>
    </w:p>
    <w:p w:rsidR="005F12A2" w:rsidRDefault="005E42F4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STUDENT SUPPORT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Default="0044368B" w:rsidP="005E42F4">
            <w:pPr>
              <w:rPr>
                <w:color w:val="000000" w:themeColor="text1"/>
              </w:rPr>
            </w:pPr>
          </w:p>
          <w:p w:rsidR="005E42F4" w:rsidRPr="00014DCB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For many students the impact of a disability or medical condition on studies can be minimised with appropriate assistance.  It is your responsibility to look after your health and emotional wellbeing and the University </w:t>
            </w:r>
            <w:r w:rsidR="001864EE"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provide confidential individual advice and support.</w:t>
            </w:r>
          </w:p>
          <w:p w:rsidR="005E42F4" w:rsidRPr="00014DCB" w:rsidRDefault="005E42F4" w:rsidP="005E42F4">
            <w:pPr>
              <w:rPr>
                <w:b/>
                <w:color w:val="000000" w:themeColor="text1"/>
              </w:rPr>
            </w:pPr>
          </w:p>
          <w:p w:rsidR="005E42F4" w:rsidRPr="00014DCB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If you are currently NOT registered with the</w:t>
            </w:r>
            <w:r w:rsidR="001864EE">
              <w:rPr>
                <w:b/>
                <w:color w:val="000000" w:themeColor="text1"/>
              </w:rPr>
              <w:t xml:space="preserve"> Wellbeing and </w:t>
            </w:r>
            <w:r w:rsidR="001864EE"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, and you believe that you have a medical condition or </w:t>
            </w:r>
            <w:r w:rsidR="001864EE" w:rsidRPr="00014DCB">
              <w:rPr>
                <w:b/>
                <w:color w:val="000000" w:themeColor="text1"/>
              </w:rPr>
              <w:t>disability, which</w:t>
            </w:r>
            <w:r w:rsidRPr="00014DCB">
              <w:rPr>
                <w:b/>
                <w:color w:val="000000" w:themeColor="text1"/>
              </w:rPr>
              <w:t xml:space="preserve"> affects your ability to study, you MUST contact </w:t>
            </w:r>
            <w:r w:rsidR="001864EE">
              <w:rPr>
                <w:b/>
                <w:color w:val="000000" w:themeColor="text1"/>
              </w:rPr>
              <w:t xml:space="preserve">the Wellbeing and </w:t>
            </w:r>
            <w:r w:rsidR="001864EE"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to find out if there is any support available for you. </w:t>
            </w:r>
          </w:p>
          <w:p w:rsidR="005E42F4" w:rsidRPr="00014DCB" w:rsidRDefault="005E42F4" w:rsidP="005E42F4">
            <w:pPr>
              <w:rPr>
                <w:b/>
                <w:color w:val="000000" w:themeColor="text1"/>
              </w:rPr>
            </w:pPr>
          </w:p>
          <w:p w:rsidR="0044368B" w:rsidRPr="00014DCB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Further details on the </w:t>
            </w:r>
            <w:r w:rsidR="001864EE"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be found by visiting: </w:t>
            </w:r>
            <w:hyperlink r:id="rId11" w:history="1">
              <w:r w:rsidRPr="00014DCB">
                <w:rPr>
                  <w:rStyle w:val="Hyperlink"/>
                  <w:b/>
                  <w:color w:val="000000" w:themeColor="text1"/>
                </w:rPr>
                <w:t>http://dds.southwales.ac.uk/</w:t>
              </w:r>
            </w:hyperlink>
            <w:r w:rsidR="001864EE">
              <w:rPr>
                <w:rStyle w:val="Hyperlink"/>
                <w:b/>
                <w:color w:val="000000" w:themeColor="text1"/>
              </w:rPr>
              <w:t xml:space="preserve"> or </w:t>
            </w:r>
            <w:hyperlink r:id="rId12" w:history="1">
              <w:r w:rsidR="001864EE" w:rsidRPr="00BE3186">
                <w:rPr>
                  <w:rStyle w:val="Hyperlink"/>
                  <w:b/>
                </w:rPr>
                <w:t>http://thewellbeingservice.southwales.ac.uk/</w:t>
              </w:r>
            </w:hyperlink>
            <w:r w:rsidR="001864EE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EA1615" w:rsidRPr="005F12A2" w:rsidRDefault="005E42F4" w:rsidP="005E42F4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 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713"/>
      </w:tblGrid>
      <w:tr w:rsidR="00EA1615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F646D5" w:rsidRDefault="005E42F4" w:rsidP="005E42F4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Have you received support from any of the following services:</w:t>
            </w:r>
          </w:p>
        </w:tc>
      </w:tr>
      <w:tr w:rsidR="00EA1615" w:rsidTr="005E42F4">
        <w:trPr>
          <w:trHeight w:val="56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A1615" w:rsidRPr="005E42F4" w:rsidRDefault="005E42F4" w:rsidP="00FA33C8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Disability </w:t>
            </w:r>
            <w:r w:rsidR="001864EE"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3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615" w:rsidTr="005E42F4">
        <w:trPr>
          <w:trHeight w:val="554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A1615" w:rsidRPr="005E42F4" w:rsidRDefault="005E42F4" w:rsidP="00FA33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Wellbeing </w:t>
            </w:r>
            <w:r w:rsidR="001864EE"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B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615" w:rsidTr="0023523F">
        <w:trPr>
          <w:trHeight w:val="48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Pr="005E42F4" w:rsidRDefault="005E42F4" w:rsidP="005E4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Counselling Service</w:t>
            </w:r>
          </w:p>
        </w:tc>
        <w:tc>
          <w:tcPr>
            <w:tcW w:w="47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3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6B4610" w:rsidRDefault="006B4610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color w:val="000000" w:themeColor="text1"/>
              </w:rPr>
            </w:pPr>
          </w:p>
          <w:p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</w:t>
            </w:r>
            <w:r>
              <w:rPr>
                <w:b/>
                <w:bCs/>
              </w:rPr>
              <w:t>attached corroborating evidence</w:t>
            </w:r>
            <w:r>
              <w:rPr>
                <w:b/>
                <w:bCs/>
                <w:color w:val="000000"/>
              </w:rPr>
              <w:t>, is accurate and true to the best of my knowledge.</w:t>
            </w:r>
          </w:p>
          <w:p w:rsidR="007657F7" w:rsidRDefault="007657F7" w:rsidP="007657F7">
            <w:pPr>
              <w:rPr>
                <w:b/>
                <w:bCs/>
                <w:color w:val="000000"/>
              </w:rPr>
            </w:pPr>
          </w:p>
          <w:p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:rsidR="00851511" w:rsidRPr="00851511" w:rsidRDefault="00851511" w:rsidP="007657F7">
            <w:pPr>
              <w:pStyle w:val="FootnoteText"/>
              <w:rPr>
                <w:color w:val="000000"/>
              </w:rPr>
            </w:pPr>
          </w:p>
        </w:tc>
      </w:tr>
      <w:tr w:rsidR="00055ADB" w:rsidRPr="002A1BCD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014DCB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29" w:rsidRDefault="00ED4D29" w:rsidP="005F17E2">
      <w:r>
        <w:separator/>
      </w:r>
    </w:p>
  </w:endnote>
  <w:endnote w:type="continuationSeparator" w:id="0">
    <w:p w:rsidR="00ED4D29" w:rsidRDefault="00ED4D29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29" w:rsidRDefault="00ED4D29" w:rsidP="005F17E2">
      <w:r>
        <w:separator/>
      </w:r>
    </w:p>
  </w:footnote>
  <w:footnote w:type="continuationSeparator" w:id="0">
    <w:p w:rsidR="00ED4D29" w:rsidRDefault="00ED4D29" w:rsidP="005F17E2">
      <w:r>
        <w:continuationSeparator/>
      </w:r>
    </w:p>
  </w:footnote>
  <w:footnote w:id="1">
    <w:p w:rsidR="004979A2" w:rsidRDefault="007657F7" w:rsidP="007657F7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</w:t>
      </w:r>
      <w:r w:rsidR="004979A2">
        <w:rPr>
          <w:sz w:val="18"/>
          <w:szCs w:val="18"/>
        </w:rPr>
        <w:t>:</w:t>
      </w:r>
      <w:hyperlink r:id="rId1" w:history="1"/>
      <w:r>
        <w:rPr>
          <w:sz w:val="18"/>
          <w:szCs w:val="18"/>
        </w:rPr>
        <w:t xml:space="preserve"> </w:t>
      </w:r>
      <w:hyperlink r:id="rId2" w:history="1">
        <w:r w:rsidR="004979A2" w:rsidRPr="004D0386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:rsidR="007657F7" w:rsidRDefault="007657F7" w:rsidP="007657F7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7657F7" w:rsidRDefault="007657F7" w:rsidP="007657F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313D0"/>
    <w:rsid w:val="00050DDB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64EE"/>
    <w:rsid w:val="00192B94"/>
    <w:rsid w:val="001B3F45"/>
    <w:rsid w:val="001B7789"/>
    <w:rsid w:val="001F2929"/>
    <w:rsid w:val="001F5E93"/>
    <w:rsid w:val="00200025"/>
    <w:rsid w:val="0020144F"/>
    <w:rsid w:val="00201EEC"/>
    <w:rsid w:val="0023523F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80712"/>
    <w:rsid w:val="0049430C"/>
    <w:rsid w:val="004979A2"/>
    <w:rsid w:val="004B7F95"/>
    <w:rsid w:val="004C1EC2"/>
    <w:rsid w:val="004D0EDE"/>
    <w:rsid w:val="004F78F6"/>
    <w:rsid w:val="0050697D"/>
    <w:rsid w:val="00522BF6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54842"/>
    <w:rsid w:val="00662E10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657F7"/>
    <w:rsid w:val="00775199"/>
    <w:rsid w:val="00782DBD"/>
    <w:rsid w:val="007A15E9"/>
    <w:rsid w:val="007A38E7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53144"/>
    <w:rsid w:val="009602A6"/>
    <w:rsid w:val="00984D4B"/>
    <w:rsid w:val="00985AAD"/>
    <w:rsid w:val="00993915"/>
    <w:rsid w:val="0099619B"/>
    <w:rsid w:val="009A2D7D"/>
    <w:rsid w:val="009B1274"/>
    <w:rsid w:val="009B6A09"/>
    <w:rsid w:val="009D74DB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E755A"/>
    <w:rsid w:val="00AF694A"/>
    <w:rsid w:val="00B07371"/>
    <w:rsid w:val="00B12ED4"/>
    <w:rsid w:val="00B448E2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4C8B"/>
    <w:rsid w:val="00C36BB0"/>
    <w:rsid w:val="00C42245"/>
    <w:rsid w:val="00C53B79"/>
    <w:rsid w:val="00CB421B"/>
    <w:rsid w:val="00D16599"/>
    <w:rsid w:val="00D27B82"/>
    <w:rsid w:val="00D31A13"/>
    <w:rsid w:val="00D31BE0"/>
    <w:rsid w:val="00D60361"/>
    <w:rsid w:val="00D669D8"/>
    <w:rsid w:val="00D73EC0"/>
    <w:rsid w:val="00D835A9"/>
    <w:rsid w:val="00D930DF"/>
    <w:rsid w:val="00D97A0C"/>
    <w:rsid w:val="00DC1AC7"/>
    <w:rsid w:val="00DF596D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231AB"/>
    <w:rsid w:val="00F338B8"/>
    <w:rsid w:val="00F37143"/>
    <w:rsid w:val="00F50F31"/>
    <w:rsid w:val="00F646D5"/>
    <w:rsid w:val="00F7648E"/>
    <w:rsid w:val="00F8231B"/>
    <w:rsid w:val="00F96B15"/>
    <w:rsid w:val="00FA33C8"/>
    <w:rsid w:val="00FD002B"/>
    <w:rsid w:val="00FD1002"/>
    <w:rsid w:val="00FD7A4C"/>
    <w:rsid w:val="00FE1E34"/>
    <w:rsid w:val="00FE27F6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4263B4F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7F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7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s://registry.southwales.ac.uk/student-regulations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0F72E8-78CA-45EA-8C00-D2B303A1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Rachel Renton</cp:lastModifiedBy>
  <cp:revision>129</cp:revision>
  <cp:lastPrinted>2014-06-11T08:44:00Z</cp:lastPrinted>
  <dcterms:created xsi:type="dcterms:W3CDTF">2014-05-30T07:30:00Z</dcterms:created>
  <dcterms:modified xsi:type="dcterms:W3CDTF">2019-03-28T15:04:00Z</dcterms:modified>
</cp:coreProperties>
</file>