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3E16" w14:textId="4D88E453" w:rsidR="00362125" w:rsidRDefault="00362125" w:rsidP="003C097A">
      <w:pPr>
        <w:spacing w:after="200" w:line="276" w:lineRule="auto"/>
        <w:ind w:left="0" w:firstLine="0"/>
        <w:jc w:val="center"/>
        <w:rPr>
          <w:rFonts w:ascii="Arial" w:hAnsi="Arial" w:cs="Arial"/>
          <w:b/>
        </w:rPr>
      </w:pPr>
      <w:r w:rsidRPr="00362125">
        <w:rPr>
          <w:rFonts w:ascii="Arial" w:hAnsi="Arial" w:cs="Arial"/>
          <w:b/>
          <w:noProof/>
          <w:lang w:eastAsia="en-GB"/>
        </w:rPr>
        <w:drawing>
          <wp:inline distT="0" distB="0" distL="0" distR="0" wp14:anchorId="0EE2124B" wp14:editId="11E483B7">
            <wp:extent cx="981075" cy="10096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691E8" w14:textId="77777777" w:rsidR="00362125" w:rsidRDefault="00362125" w:rsidP="00E73066">
      <w:pPr>
        <w:jc w:val="center"/>
        <w:rPr>
          <w:rFonts w:ascii="Arial" w:hAnsi="Arial" w:cs="Arial"/>
          <w:b/>
        </w:rPr>
      </w:pPr>
    </w:p>
    <w:p w14:paraId="21B9B79E" w14:textId="28F3F7DD" w:rsidR="00706A22" w:rsidRDefault="00706A22" w:rsidP="00E73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CASEWORK UNIT</w:t>
      </w:r>
    </w:p>
    <w:p w14:paraId="02CC75C9" w14:textId="77777777" w:rsidR="00706A22" w:rsidRDefault="00706A22" w:rsidP="00E73066">
      <w:pPr>
        <w:jc w:val="center"/>
        <w:rPr>
          <w:rFonts w:ascii="Arial" w:hAnsi="Arial" w:cs="Arial"/>
          <w:b/>
        </w:rPr>
      </w:pPr>
    </w:p>
    <w:p w14:paraId="3F6848CC" w14:textId="16F345B0" w:rsidR="00E73066" w:rsidRPr="00721A4D" w:rsidRDefault="00E73066" w:rsidP="00E73066">
      <w:pPr>
        <w:jc w:val="center"/>
        <w:rPr>
          <w:rFonts w:ascii="Arial" w:hAnsi="Arial" w:cs="Arial"/>
          <w:b/>
        </w:rPr>
      </w:pPr>
      <w:r w:rsidRPr="00721A4D">
        <w:rPr>
          <w:rFonts w:ascii="Arial" w:hAnsi="Arial" w:cs="Arial"/>
          <w:b/>
        </w:rPr>
        <w:t>RISK ASSESSMENT PROCEDURE</w:t>
      </w:r>
    </w:p>
    <w:p w14:paraId="1EBD99F2" w14:textId="77777777" w:rsidR="00E73066" w:rsidRDefault="00E73066" w:rsidP="00E73066">
      <w:pPr>
        <w:jc w:val="center"/>
        <w:rPr>
          <w:rFonts w:ascii="Arial" w:hAnsi="Arial" w:cs="Arial"/>
          <w:b/>
        </w:rPr>
      </w:pPr>
    </w:p>
    <w:p w14:paraId="6AC7989A" w14:textId="77777777" w:rsidR="00E73066" w:rsidRDefault="00E73066" w:rsidP="00B33C22">
      <w:pPr>
        <w:ind w:left="851" w:hanging="851"/>
        <w:jc w:val="center"/>
        <w:rPr>
          <w:rFonts w:ascii="Arial" w:hAnsi="Arial" w:cs="Arial"/>
          <w:b/>
        </w:rPr>
      </w:pPr>
    </w:p>
    <w:p w14:paraId="063634EC" w14:textId="567B02BC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A Risk Assessment Panel </w:t>
      </w:r>
      <w:r w:rsidR="00E82AC8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convened where the University is informed or becomes aware that</w:t>
      </w:r>
      <w:r w:rsidRPr="002F3BF7">
        <w:rPr>
          <w:rFonts w:ascii="Arial" w:hAnsi="Arial" w:cs="Arial"/>
        </w:rPr>
        <w:t>:</w:t>
      </w:r>
    </w:p>
    <w:p w14:paraId="6F04821E" w14:textId="77777777" w:rsidR="00AE2645" w:rsidRPr="002F3BF7" w:rsidRDefault="00AE2645" w:rsidP="00B33C22">
      <w:pPr>
        <w:pStyle w:val="ListParagraph"/>
        <w:ind w:left="851" w:hanging="851"/>
        <w:rPr>
          <w:rFonts w:ascii="Arial" w:hAnsi="Arial" w:cs="Arial"/>
        </w:rPr>
      </w:pPr>
    </w:p>
    <w:p w14:paraId="689907A4" w14:textId="3BF1AE6A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has disclosed that, during the course of their studies, they have received a criminal caution, charge or conviction</w:t>
      </w:r>
      <w:r w:rsidR="00105CDB" w:rsidRPr="00B33C22">
        <w:rPr>
          <w:rFonts w:ascii="Arial" w:hAnsi="Arial" w:cs="Arial"/>
        </w:rPr>
        <w:t>;</w:t>
      </w:r>
    </w:p>
    <w:p w14:paraId="51C70A79" w14:textId="68018E7B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is being investigated by the relevant authorities on suspicion of having committed a serious criminal offence</w:t>
      </w:r>
      <w:r w:rsidR="00105CDB" w:rsidRPr="00B33C22">
        <w:rPr>
          <w:rFonts w:ascii="Arial" w:hAnsi="Arial" w:cs="Arial"/>
        </w:rPr>
        <w:t>;</w:t>
      </w:r>
    </w:p>
    <w:p w14:paraId="5BE9B360" w14:textId="0764DD93" w:rsidR="00E73066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an investigation is about to commence</w:t>
      </w:r>
      <w:r w:rsidR="00105CDB" w:rsidRPr="00B33C22">
        <w:rPr>
          <w:rFonts w:ascii="Arial" w:hAnsi="Arial" w:cs="Arial"/>
        </w:rPr>
        <w:t>;</w:t>
      </w:r>
    </w:p>
    <w:p w14:paraId="788F6BE8" w14:textId="459DCC07" w:rsidR="0051686F" w:rsidRPr="00B33C22" w:rsidRDefault="00E73066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 concern has been raised during an investigation into an alleged misconduct that the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poses a risk to themselves or others</w:t>
      </w:r>
      <w:r w:rsidR="00944617" w:rsidRPr="00B33C22">
        <w:rPr>
          <w:rFonts w:ascii="Arial" w:hAnsi="Arial" w:cs="Arial"/>
        </w:rPr>
        <w:t>;</w:t>
      </w:r>
    </w:p>
    <w:p w14:paraId="429A9368" w14:textId="3FBC1D59" w:rsidR="0051686F" w:rsidRDefault="00FB4E6D" w:rsidP="00B33C2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B33C22">
        <w:rPr>
          <w:rFonts w:ascii="Arial" w:hAnsi="Arial" w:cs="Arial"/>
        </w:rPr>
        <w:t>any</w:t>
      </w:r>
      <w:proofErr w:type="gramEnd"/>
      <w:r w:rsidRPr="00B33C22">
        <w:rPr>
          <w:rFonts w:ascii="Arial" w:hAnsi="Arial" w:cs="Arial"/>
        </w:rPr>
        <w:t xml:space="preserve"> other circumstance where</w:t>
      </w:r>
      <w:r w:rsidR="001E6798" w:rsidRPr="00B33C22">
        <w:rPr>
          <w:rFonts w:ascii="Arial" w:hAnsi="Arial" w:cs="Arial"/>
        </w:rPr>
        <w:t xml:space="preserve"> the actions of</w:t>
      </w:r>
      <w:r w:rsidRPr="00B33C22">
        <w:rPr>
          <w:rFonts w:ascii="Arial" w:hAnsi="Arial" w:cs="Arial"/>
        </w:rPr>
        <w:t xml:space="preserve"> a student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could </w:t>
      </w:r>
      <w:r w:rsidR="001E6798" w:rsidRPr="00B33C22">
        <w:rPr>
          <w:rFonts w:ascii="Arial" w:hAnsi="Arial" w:cs="Arial"/>
        </w:rPr>
        <w:t>cause</w:t>
      </w:r>
      <w:r w:rsidRPr="00B33C22">
        <w:rPr>
          <w:rFonts w:ascii="Arial" w:hAnsi="Arial" w:cs="Arial"/>
        </w:rPr>
        <w:t xml:space="preserve"> a risk to the wellbeing of the University community or reputational damage to the institution.  </w:t>
      </w:r>
    </w:p>
    <w:p w14:paraId="2EBEA877" w14:textId="63519B7E" w:rsidR="00AB3BC6" w:rsidRDefault="00AB3BC6" w:rsidP="002E594B">
      <w:pPr>
        <w:pStyle w:val="ListParagraph"/>
        <w:ind w:left="1571" w:firstLine="0"/>
        <w:rPr>
          <w:rFonts w:ascii="Arial" w:hAnsi="Arial" w:cs="Arial"/>
        </w:rPr>
      </w:pPr>
    </w:p>
    <w:p w14:paraId="4BDAF0BA" w14:textId="53DE7545" w:rsidR="00AB3BC6" w:rsidRPr="007B2703" w:rsidRDefault="00AB3BC6" w:rsidP="002E594B">
      <w:pPr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certain cases, due </w:t>
      </w:r>
      <w:r w:rsidRPr="007B2703">
        <w:rPr>
          <w:rFonts w:ascii="Arial" w:hAnsi="Arial" w:cs="Arial"/>
        </w:rPr>
        <w:t>to the urgent or sensitive nature of the matter, the University Secretary (or nominee), may approve precautionary action until a hearing takes place and a conclusion has been reached.</w:t>
      </w:r>
    </w:p>
    <w:p w14:paraId="4CC72ECD" w14:textId="0AB745D1" w:rsidR="00AB3BC6" w:rsidRPr="00B33C22" w:rsidRDefault="00AB3BC6" w:rsidP="002E594B">
      <w:pPr>
        <w:pStyle w:val="ListParagraph"/>
        <w:ind w:left="851" w:firstLine="0"/>
        <w:rPr>
          <w:rFonts w:ascii="Arial" w:hAnsi="Arial" w:cs="Arial"/>
        </w:rPr>
      </w:pPr>
    </w:p>
    <w:p w14:paraId="78303D85" w14:textId="2C9EC6A7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The risk</w:t>
      </w:r>
      <w:r w:rsidRPr="002F3BF7">
        <w:rPr>
          <w:rFonts w:ascii="Arial" w:hAnsi="Arial" w:cs="Arial"/>
        </w:rPr>
        <w:t xml:space="preserve"> assessment </w:t>
      </w:r>
      <w:r>
        <w:rPr>
          <w:rFonts w:ascii="Arial" w:hAnsi="Arial" w:cs="Arial"/>
        </w:rPr>
        <w:t>is</w:t>
      </w:r>
      <w:r w:rsidRPr="002F3BF7">
        <w:rPr>
          <w:rFonts w:ascii="Arial" w:hAnsi="Arial" w:cs="Arial"/>
        </w:rPr>
        <w:t xml:space="preserve"> required to</w:t>
      </w:r>
      <w:r w:rsidR="001E6798">
        <w:rPr>
          <w:rFonts w:ascii="Arial" w:hAnsi="Arial" w:cs="Arial"/>
        </w:rPr>
        <w:t xml:space="preserve"> make recommendations</w:t>
      </w:r>
      <w:r w:rsidR="00B9776F">
        <w:rPr>
          <w:rFonts w:ascii="Arial" w:hAnsi="Arial" w:cs="Arial"/>
        </w:rPr>
        <w:t xml:space="preserve"> for precautionary action where necessary and appropriate,</w:t>
      </w:r>
      <w:r w:rsidR="001E6798">
        <w:rPr>
          <w:rFonts w:ascii="Arial" w:hAnsi="Arial" w:cs="Arial"/>
        </w:rPr>
        <w:t xml:space="preserve"> in the context of</w:t>
      </w:r>
      <w:r w:rsidRPr="002F3BF7">
        <w:rPr>
          <w:rFonts w:ascii="Arial" w:hAnsi="Arial" w:cs="Arial"/>
        </w:rPr>
        <w:t xml:space="preserve"> safeguard</w:t>
      </w:r>
      <w:r w:rsidR="001E6798">
        <w:rPr>
          <w:rFonts w:ascii="Arial" w:hAnsi="Arial" w:cs="Arial"/>
        </w:rPr>
        <w:t>ing</w:t>
      </w:r>
      <w:r w:rsidR="00772C2C">
        <w:rPr>
          <w:rStyle w:val="FootnoteReference"/>
          <w:rFonts w:ascii="Arial" w:hAnsi="Arial" w:cs="Arial"/>
        </w:rPr>
        <w:footnoteReference w:id="1"/>
      </w:r>
      <w:r w:rsidRPr="002F3BF7">
        <w:rPr>
          <w:rFonts w:ascii="Arial" w:hAnsi="Arial" w:cs="Arial"/>
        </w:rPr>
        <w:t xml:space="preserve">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2F3BF7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2F3BF7">
        <w:rPr>
          <w:rFonts w:ascii="Arial" w:hAnsi="Arial" w:cs="Arial"/>
        </w:rPr>
        <w:t xml:space="preserve"> themselves, </w:t>
      </w:r>
      <w:r w:rsidR="00CA4E7F">
        <w:rPr>
          <w:rFonts w:ascii="Arial" w:hAnsi="Arial" w:cs="Arial"/>
        </w:rPr>
        <w:t>the Reporting P</w:t>
      </w:r>
      <w:r w:rsidR="00C841BA">
        <w:rPr>
          <w:rFonts w:ascii="Arial" w:hAnsi="Arial" w:cs="Arial"/>
        </w:rPr>
        <w:t xml:space="preserve">arty, </w:t>
      </w:r>
      <w:r w:rsidRPr="002F3BF7">
        <w:rPr>
          <w:rFonts w:ascii="Arial" w:hAnsi="Arial" w:cs="Arial"/>
        </w:rPr>
        <w:t>other members of the University community or the University’s reputation.</w:t>
      </w:r>
      <w:r w:rsidR="00C841BA">
        <w:rPr>
          <w:rFonts w:ascii="Arial" w:hAnsi="Arial" w:cs="Arial"/>
        </w:rPr>
        <w:t xml:space="preserve"> </w:t>
      </w:r>
      <w:r w:rsidR="006235F1">
        <w:rPr>
          <w:rFonts w:ascii="Arial" w:hAnsi="Arial" w:cs="Arial"/>
        </w:rPr>
        <w:t xml:space="preserve">The role of the Risk Assessment Panel is to assess the risks arising from the alleged incident </w:t>
      </w:r>
      <w:proofErr w:type="gramStart"/>
      <w:r w:rsidR="006235F1">
        <w:rPr>
          <w:rFonts w:ascii="Arial" w:hAnsi="Arial" w:cs="Arial"/>
        </w:rPr>
        <w:t>on the basis of</w:t>
      </w:r>
      <w:proofErr w:type="gramEnd"/>
      <w:r w:rsidR="006235F1">
        <w:rPr>
          <w:rFonts w:ascii="Arial" w:hAnsi="Arial" w:cs="Arial"/>
        </w:rPr>
        <w:t xml:space="preserve"> the allegation reported to the University. </w:t>
      </w:r>
      <w:r w:rsidR="00C841BA">
        <w:rPr>
          <w:rFonts w:ascii="Arial" w:hAnsi="Arial" w:cs="Arial"/>
        </w:rPr>
        <w:t>In conducting the risk assessm</w:t>
      </w:r>
      <w:r w:rsidR="00CA4E7F">
        <w:rPr>
          <w:rFonts w:ascii="Arial" w:hAnsi="Arial" w:cs="Arial"/>
        </w:rPr>
        <w:t>ent, it is not the role of the P</w:t>
      </w:r>
      <w:r w:rsidR="00C841BA">
        <w:rPr>
          <w:rFonts w:ascii="Arial" w:hAnsi="Arial" w:cs="Arial"/>
        </w:rPr>
        <w:t>anel to investigate or determine whether the alleged in</w:t>
      </w:r>
      <w:r w:rsidR="00010E41">
        <w:rPr>
          <w:rFonts w:ascii="Arial" w:hAnsi="Arial" w:cs="Arial"/>
        </w:rPr>
        <w:t>cident has occurred as reported</w:t>
      </w:r>
      <w:r w:rsidR="00CA4E7F">
        <w:rPr>
          <w:rFonts w:ascii="Arial" w:hAnsi="Arial" w:cs="Arial"/>
        </w:rPr>
        <w:t xml:space="preserve">. </w:t>
      </w:r>
      <w:r w:rsidR="00FA673C">
        <w:rPr>
          <w:rFonts w:ascii="Arial" w:hAnsi="Arial" w:cs="Arial"/>
        </w:rPr>
        <w:t xml:space="preserve">The University’s procedure for dealing with misconduct that is also a criminal offence </w:t>
      </w:r>
      <w:proofErr w:type="gramStart"/>
      <w:r w:rsidR="00FA673C">
        <w:rPr>
          <w:rFonts w:ascii="Arial" w:hAnsi="Arial" w:cs="Arial"/>
        </w:rPr>
        <w:t>can be found</w:t>
      </w:r>
      <w:proofErr w:type="gramEnd"/>
      <w:r w:rsidR="00FA673C">
        <w:rPr>
          <w:rFonts w:ascii="Arial" w:hAnsi="Arial" w:cs="Arial"/>
        </w:rPr>
        <w:t xml:space="preserve"> in sections 6.7 to 6.10 of the Student Conduct</w:t>
      </w:r>
      <w:r w:rsidR="00B9776F">
        <w:rPr>
          <w:rFonts w:ascii="Arial" w:hAnsi="Arial" w:cs="Arial"/>
        </w:rPr>
        <w:t xml:space="preserve"> Procedure.</w:t>
      </w:r>
    </w:p>
    <w:p w14:paraId="6DB506E2" w14:textId="7DAEA8F6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4D5F7C6" w14:textId="5A18AFE7" w:rsidR="00E73066" w:rsidRDefault="00FB4E6D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3066">
        <w:rPr>
          <w:rFonts w:ascii="Arial" w:hAnsi="Arial" w:cs="Arial"/>
        </w:rPr>
        <w:t>he Risk Assessment Panel</w:t>
      </w:r>
      <w:r w:rsidR="003A7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constituted from the following:</w:t>
      </w:r>
    </w:p>
    <w:p w14:paraId="4ED0B3C2" w14:textId="77777777" w:rsidR="00FB4E6D" w:rsidRDefault="00FB4E6D" w:rsidP="00B33C22">
      <w:pPr>
        <w:pStyle w:val="ListParagraph"/>
        <w:ind w:left="851" w:hanging="851"/>
        <w:rPr>
          <w:rFonts w:ascii="Arial" w:hAnsi="Arial" w:cs="Arial"/>
        </w:rPr>
      </w:pPr>
    </w:p>
    <w:p w14:paraId="282E4107" w14:textId="3D0762C5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University Secretary or nominee (Chair) </w:t>
      </w:r>
    </w:p>
    <w:p w14:paraId="36A12D9D" w14:textId="50D8C1A8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Director of Student Services</w:t>
      </w:r>
    </w:p>
    <w:p w14:paraId="268A35B5" w14:textId="6C05F617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Director of Chaplaincy Services</w:t>
      </w:r>
    </w:p>
    <w:p w14:paraId="3BBEB8A8" w14:textId="1E6F90E4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Chief Executive Officer, Students’ Union</w:t>
      </w:r>
    </w:p>
    <w:p w14:paraId="39164B4D" w14:textId="4AFF2D8B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Head of Corporate Communications</w:t>
      </w:r>
    </w:p>
    <w:p w14:paraId="73F33041" w14:textId="11768721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Head of Accommodation Services</w:t>
      </w:r>
    </w:p>
    <w:p w14:paraId="0B2AAD19" w14:textId="7D530109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Security and Cleaning Manager</w:t>
      </w:r>
    </w:p>
    <w:p w14:paraId="745BBB7D" w14:textId="674E6E90" w:rsidR="00FB4E6D" w:rsidRPr="00B33C22" w:rsidRDefault="0051686F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Dean of F</w:t>
      </w:r>
      <w:r w:rsidR="00FB4E6D" w:rsidRPr="00B33C22">
        <w:rPr>
          <w:rFonts w:ascii="Arial" w:hAnsi="Arial" w:cs="Arial"/>
        </w:rPr>
        <w:t>aculty of the student</w:t>
      </w:r>
    </w:p>
    <w:p w14:paraId="6299D9EA" w14:textId="2318DFEA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lastRenderedPageBreak/>
        <w:t>Academic Director, Dubai Campus</w:t>
      </w:r>
      <w:r w:rsidRPr="00B33C22">
        <w:rPr>
          <w:rStyle w:val="FootnoteReference"/>
          <w:rFonts w:ascii="Arial" w:hAnsi="Arial" w:cs="Arial"/>
        </w:rPr>
        <w:footnoteReference w:id="2"/>
      </w:r>
    </w:p>
    <w:p w14:paraId="0C52D859" w14:textId="18FB671C" w:rsidR="00FB4E6D" w:rsidRPr="00B33C22" w:rsidRDefault="00FB4E6D" w:rsidP="00B33C2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Associate Registrar (Student Casework) or nominee (Secretary)</w:t>
      </w:r>
    </w:p>
    <w:p w14:paraId="06156D96" w14:textId="56744C62" w:rsidR="00FB4E6D" w:rsidRDefault="00FB4E6D" w:rsidP="00B33C22">
      <w:pPr>
        <w:ind w:left="851" w:hanging="851"/>
        <w:rPr>
          <w:rFonts w:ascii="Arial" w:hAnsi="Arial" w:cs="Arial"/>
        </w:rPr>
      </w:pPr>
    </w:p>
    <w:p w14:paraId="153983FC" w14:textId="00472C68" w:rsidR="00E73066" w:rsidRPr="00FF5F1D" w:rsidRDefault="003A70BF" w:rsidP="00B33C22">
      <w:pPr>
        <w:pStyle w:val="ListParagraph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The Chair, in consultation with the Associate Registrar (Student Casework), will confirm which staff are required to attend, depending on the nature of the case.  </w:t>
      </w:r>
      <w:r w:rsidR="00314054">
        <w:rPr>
          <w:rFonts w:ascii="Arial" w:hAnsi="Arial" w:cs="Arial"/>
        </w:rPr>
        <w:t xml:space="preserve">The Chair may ask for a member of staff with specific expertise to attend a </w:t>
      </w:r>
      <w:r w:rsidR="00DF3F87">
        <w:rPr>
          <w:rFonts w:ascii="Arial" w:hAnsi="Arial" w:cs="Arial"/>
        </w:rPr>
        <w:t>meeting</w:t>
      </w:r>
      <w:r w:rsidR="00A041A1">
        <w:rPr>
          <w:rFonts w:ascii="Arial" w:hAnsi="Arial" w:cs="Arial"/>
        </w:rPr>
        <w:t>,</w:t>
      </w:r>
      <w:r w:rsidR="00314054">
        <w:rPr>
          <w:rFonts w:ascii="Arial" w:hAnsi="Arial" w:cs="Arial"/>
        </w:rPr>
        <w:t xml:space="preserve"> if </w:t>
      </w:r>
      <w:r w:rsidR="00842E8A">
        <w:rPr>
          <w:rFonts w:ascii="Arial" w:hAnsi="Arial" w:cs="Arial"/>
        </w:rPr>
        <w:t xml:space="preserve">it </w:t>
      </w:r>
      <w:proofErr w:type="gramStart"/>
      <w:r w:rsidR="00842E8A">
        <w:rPr>
          <w:rFonts w:ascii="Arial" w:hAnsi="Arial" w:cs="Arial"/>
        </w:rPr>
        <w:t xml:space="preserve">is </w:t>
      </w:r>
      <w:r w:rsidR="00314054">
        <w:rPr>
          <w:rFonts w:ascii="Arial" w:hAnsi="Arial" w:cs="Arial"/>
        </w:rPr>
        <w:t>deemed</w:t>
      </w:r>
      <w:proofErr w:type="gramEnd"/>
      <w:r w:rsidR="00314054">
        <w:rPr>
          <w:rFonts w:ascii="Arial" w:hAnsi="Arial" w:cs="Arial"/>
        </w:rPr>
        <w:t xml:space="preserve"> necessary. </w:t>
      </w:r>
      <w:r w:rsidR="00720B1B">
        <w:rPr>
          <w:rFonts w:ascii="Arial" w:hAnsi="Arial" w:cs="Arial"/>
        </w:rPr>
        <w:t xml:space="preserve">A nominee of a Panel member </w:t>
      </w:r>
      <w:proofErr w:type="gramStart"/>
      <w:r w:rsidR="00720B1B">
        <w:rPr>
          <w:rFonts w:ascii="Arial" w:hAnsi="Arial" w:cs="Arial"/>
        </w:rPr>
        <w:t>is permitted</w:t>
      </w:r>
      <w:proofErr w:type="gramEnd"/>
      <w:r w:rsidR="00720B1B">
        <w:rPr>
          <w:rFonts w:ascii="Arial" w:hAnsi="Arial" w:cs="Arial"/>
        </w:rPr>
        <w:t xml:space="preserve"> to attend in their place.</w:t>
      </w:r>
    </w:p>
    <w:p w14:paraId="5A890E8C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6FFECF2" w14:textId="632EF4B7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0B0225">
        <w:rPr>
          <w:rFonts w:ascii="Arial" w:hAnsi="Arial" w:cs="Arial"/>
        </w:rPr>
        <w:t xml:space="preserve">The function of the Risk Assessment Panel </w:t>
      </w:r>
      <w:r>
        <w:rPr>
          <w:rFonts w:ascii="Arial" w:hAnsi="Arial" w:cs="Arial"/>
        </w:rPr>
        <w:t>is to:</w:t>
      </w:r>
    </w:p>
    <w:p w14:paraId="1B6EEDD8" w14:textId="77777777" w:rsidR="00AE2645" w:rsidRDefault="00AE2645" w:rsidP="00B33C22">
      <w:pPr>
        <w:pStyle w:val="ListParagraph"/>
        <w:ind w:left="851" w:hanging="851"/>
        <w:rPr>
          <w:rFonts w:ascii="Arial" w:hAnsi="Arial" w:cs="Arial"/>
        </w:rPr>
      </w:pPr>
    </w:p>
    <w:p w14:paraId="3331E2D2" w14:textId="47F91271" w:rsidR="00E73066" w:rsidRPr="00B33C22" w:rsidRDefault="00E73066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evaluate the circumstances as presented</w:t>
      </w:r>
      <w:r w:rsidR="00105CDB" w:rsidRPr="00B33C22">
        <w:rPr>
          <w:rFonts w:ascii="Arial" w:hAnsi="Arial" w:cs="Arial"/>
        </w:rPr>
        <w:t>;</w:t>
      </w:r>
    </w:p>
    <w:p w14:paraId="1BD76324" w14:textId="394561BA" w:rsidR="00E73066" w:rsidRPr="00B33C22" w:rsidRDefault="00E73066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identify and measure risks</w:t>
      </w:r>
      <w:r w:rsidR="00105CDB" w:rsidRPr="00B33C22">
        <w:rPr>
          <w:rFonts w:ascii="Arial" w:hAnsi="Arial" w:cs="Arial"/>
        </w:rPr>
        <w:t>;</w:t>
      </w:r>
    </w:p>
    <w:p w14:paraId="31030F2E" w14:textId="056107AF" w:rsidR="00E73066" w:rsidRPr="00B33C22" w:rsidRDefault="00FB4E6D" w:rsidP="00B33C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B33C22">
        <w:rPr>
          <w:rFonts w:ascii="Arial" w:hAnsi="Arial" w:cs="Arial"/>
        </w:rPr>
        <w:t>advise</w:t>
      </w:r>
      <w:proofErr w:type="gramEnd"/>
      <w:r w:rsidRPr="00B33C22">
        <w:rPr>
          <w:rFonts w:ascii="Arial" w:hAnsi="Arial" w:cs="Arial"/>
        </w:rPr>
        <w:t xml:space="preserve"> the University Secretary (or nominee) </w:t>
      </w:r>
      <w:r w:rsidR="00E73066" w:rsidRPr="00B33C22">
        <w:rPr>
          <w:rFonts w:ascii="Arial" w:hAnsi="Arial" w:cs="Arial"/>
        </w:rPr>
        <w:t>what action, if any, should be taken to remove or mitigate the risks.</w:t>
      </w:r>
    </w:p>
    <w:p w14:paraId="5D6A2CE7" w14:textId="77777777" w:rsidR="00E73066" w:rsidRPr="000B0225" w:rsidRDefault="00E73066" w:rsidP="00B33C22">
      <w:pPr>
        <w:ind w:left="851" w:hanging="851"/>
        <w:rPr>
          <w:rFonts w:ascii="Arial" w:hAnsi="Arial" w:cs="Arial"/>
        </w:rPr>
      </w:pPr>
    </w:p>
    <w:p w14:paraId="4D4987EA" w14:textId="457F4C60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In assessing risk and determining what</w:t>
      </w:r>
      <w:r w:rsidR="00FB4E6D">
        <w:rPr>
          <w:rFonts w:ascii="Arial" w:hAnsi="Arial" w:cs="Arial"/>
        </w:rPr>
        <w:t xml:space="preserve"> </w:t>
      </w:r>
      <w:r w:rsidR="007E1F90">
        <w:rPr>
          <w:rFonts w:ascii="Arial" w:hAnsi="Arial" w:cs="Arial"/>
        </w:rPr>
        <w:t>recommendations</w:t>
      </w:r>
      <w:r w:rsidR="00FB4E6D">
        <w:rPr>
          <w:rFonts w:ascii="Arial" w:hAnsi="Arial" w:cs="Arial"/>
        </w:rPr>
        <w:t xml:space="preserve"> it offers regarding </w:t>
      </w:r>
      <w:r>
        <w:rPr>
          <w:rFonts w:ascii="Arial" w:hAnsi="Arial" w:cs="Arial"/>
        </w:rPr>
        <w:t>precautionary action the following must be considered:</w:t>
      </w:r>
    </w:p>
    <w:p w14:paraId="5EC18733" w14:textId="77777777" w:rsidR="00FB4E6D" w:rsidRDefault="00FB4E6D" w:rsidP="00B33C22">
      <w:pPr>
        <w:pStyle w:val="ListParagraph"/>
        <w:ind w:left="851" w:hanging="851"/>
        <w:rPr>
          <w:rFonts w:ascii="Arial" w:hAnsi="Arial" w:cs="Arial"/>
        </w:rPr>
      </w:pPr>
    </w:p>
    <w:p w14:paraId="18EFE85D" w14:textId="35C2ECE5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type of misconduct</w:t>
      </w:r>
      <w:r w:rsidR="00105CDB" w:rsidRPr="00B33C22">
        <w:rPr>
          <w:rFonts w:ascii="Arial" w:hAnsi="Arial" w:cs="Arial"/>
        </w:rPr>
        <w:t>;</w:t>
      </w:r>
    </w:p>
    <w:p w14:paraId="46B1EEC8" w14:textId="1206DC3E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circumstances of the incident</w:t>
      </w:r>
      <w:r w:rsidR="00105CDB" w:rsidRPr="00B33C22">
        <w:rPr>
          <w:rFonts w:ascii="Arial" w:hAnsi="Arial" w:cs="Arial"/>
        </w:rPr>
        <w:t>;</w:t>
      </w:r>
    </w:p>
    <w:p w14:paraId="332254EF" w14:textId="2C3C0234" w:rsidR="00E73066" w:rsidRPr="00B33C22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the circumstances of the individuals involved</w:t>
      </w:r>
      <w:r w:rsidR="00105CDB" w:rsidRPr="00B33C22">
        <w:rPr>
          <w:rFonts w:ascii="Arial" w:hAnsi="Arial" w:cs="Arial"/>
        </w:rPr>
        <w:t>;</w:t>
      </w:r>
    </w:p>
    <w:p w14:paraId="47212C57" w14:textId="416200A4" w:rsidR="00E73066" w:rsidRDefault="00E73066" w:rsidP="00B33C2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gramStart"/>
      <w:r w:rsidRPr="00B33C22">
        <w:rPr>
          <w:rFonts w:ascii="Arial" w:hAnsi="Arial" w:cs="Arial"/>
        </w:rPr>
        <w:t>the</w:t>
      </w:r>
      <w:proofErr w:type="gramEnd"/>
      <w:r w:rsidRPr="00B33C22">
        <w:rPr>
          <w:rFonts w:ascii="Arial" w:hAnsi="Arial" w:cs="Arial"/>
        </w:rPr>
        <w:t xml:space="preserve"> views of the police/prosecutor/probation service.</w:t>
      </w:r>
    </w:p>
    <w:p w14:paraId="67BF7C07" w14:textId="6FAE48A9" w:rsidR="006235F1" w:rsidRDefault="006235F1" w:rsidP="002E594B">
      <w:pPr>
        <w:ind w:left="0" w:firstLine="0"/>
        <w:rPr>
          <w:rFonts w:ascii="Arial" w:hAnsi="Arial" w:cs="Arial"/>
        </w:rPr>
      </w:pPr>
    </w:p>
    <w:p w14:paraId="38A8CDA0" w14:textId="77777777" w:rsidR="006235F1" w:rsidRDefault="006235F1" w:rsidP="006235F1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BB550E">
        <w:rPr>
          <w:rFonts w:ascii="Arial" w:hAnsi="Arial" w:cs="Arial"/>
        </w:rPr>
        <w:t xml:space="preserve">The Risk Assessment Panel will consider the impact or potential impact on the </w:t>
      </w:r>
      <w:r>
        <w:rPr>
          <w:rFonts w:ascii="Arial" w:hAnsi="Arial" w:cs="Arial"/>
        </w:rPr>
        <w:t>Reporting Party/R</w:t>
      </w:r>
      <w:r w:rsidRPr="00BB550E">
        <w:rPr>
          <w:rFonts w:ascii="Arial" w:hAnsi="Arial" w:cs="Arial"/>
        </w:rPr>
        <w:t xml:space="preserve">esponding </w:t>
      </w:r>
      <w:r>
        <w:rPr>
          <w:rFonts w:ascii="Arial" w:hAnsi="Arial" w:cs="Arial"/>
        </w:rPr>
        <w:t>S</w:t>
      </w:r>
      <w:r w:rsidRPr="00BB550E">
        <w:rPr>
          <w:rFonts w:ascii="Arial" w:hAnsi="Arial" w:cs="Arial"/>
        </w:rPr>
        <w:t>tudent</w:t>
      </w:r>
      <w:r>
        <w:rPr>
          <w:rFonts w:ascii="Arial" w:hAnsi="Arial" w:cs="Arial"/>
        </w:rPr>
        <w:t>/Apprentice</w:t>
      </w:r>
      <w:r w:rsidRPr="00BB550E">
        <w:rPr>
          <w:rFonts w:ascii="Arial" w:hAnsi="Arial" w:cs="Arial"/>
        </w:rPr>
        <w:t xml:space="preserve"> of any measures taken and the support arrangements that need to be put in place (for example, </w:t>
      </w:r>
      <w:r>
        <w:rPr>
          <w:rFonts w:ascii="Arial" w:hAnsi="Arial" w:cs="Arial"/>
        </w:rPr>
        <w:t xml:space="preserve">one-to-one pastoral support, </w:t>
      </w:r>
      <w:r w:rsidRPr="00BB550E">
        <w:rPr>
          <w:rFonts w:ascii="Arial" w:hAnsi="Arial" w:cs="Arial"/>
        </w:rPr>
        <w:t>counselling sessions and academic adjustments</w:t>
      </w:r>
      <w:r>
        <w:rPr>
          <w:rFonts w:ascii="Arial" w:hAnsi="Arial" w:cs="Arial"/>
        </w:rPr>
        <w:t xml:space="preserve">). </w:t>
      </w:r>
      <w:r w:rsidRPr="00BB550E">
        <w:rPr>
          <w:rFonts w:ascii="Arial" w:hAnsi="Arial" w:cs="Arial"/>
        </w:rPr>
        <w:t xml:space="preserve">The Risk Assessment Panel will also consider any measures that need to </w:t>
      </w:r>
      <w:proofErr w:type="gramStart"/>
      <w:r w:rsidRPr="00BB550E">
        <w:rPr>
          <w:rFonts w:ascii="Arial" w:hAnsi="Arial" w:cs="Arial"/>
        </w:rPr>
        <w:t>be put</w:t>
      </w:r>
      <w:proofErr w:type="gramEnd"/>
      <w:r w:rsidRPr="00BB550E">
        <w:rPr>
          <w:rFonts w:ascii="Arial" w:hAnsi="Arial" w:cs="Arial"/>
        </w:rPr>
        <w:t xml:space="preserve"> in place to protect the investigation</w:t>
      </w:r>
      <w:r>
        <w:rPr>
          <w:rFonts w:ascii="Arial" w:hAnsi="Arial" w:cs="Arial"/>
        </w:rPr>
        <w:t>.</w:t>
      </w:r>
    </w:p>
    <w:p w14:paraId="3EE55355" w14:textId="77777777" w:rsidR="006235F1" w:rsidRPr="00BB550E" w:rsidRDefault="006235F1" w:rsidP="006235F1">
      <w:pPr>
        <w:pStyle w:val="ListParagraph"/>
        <w:ind w:left="851" w:hanging="851"/>
        <w:rPr>
          <w:rFonts w:ascii="Arial" w:hAnsi="Arial" w:cs="Arial"/>
        </w:rPr>
      </w:pPr>
    </w:p>
    <w:p w14:paraId="76A4DFBD" w14:textId="670782F9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86220E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86220E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86220E">
        <w:rPr>
          <w:rFonts w:ascii="Arial" w:hAnsi="Arial" w:cs="Arial"/>
        </w:rPr>
        <w:t xml:space="preserve"> will have the right to make </w:t>
      </w:r>
      <w:r>
        <w:rPr>
          <w:rFonts w:ascii="Arial" w:hAnsi="Arial" w:cs="Arial"/>
        </w:rPr>
        <w:t xml:space="preserve">written </w:t>
      </w:r>
      <w:r w:rsidRPr="0086220E">
        <w:rPr>
          <w:rFonts w:ascii="Arial" w:hAnsi="Arial" w:cs="Arial"/>
        </w:rPr>
        <w:t xml:space="preserve">representations prior to the decision </w:t>
      </w:r>
      <w:proofErr w:type="gramStart"/>
      <w:r w:rsidRPr="0086220E">
        <w:rPr>
          <w:rFonts w:ascii="Arial" w:hAnsi="Arial" w:cs="Arial"/>
        </w:rPr>
        <w:t>being made</w:t>
      </w:r>
      <w:proofErr w:type="gramEnd"/>
      <w:r w:rsidRPr="0086220E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>, where that is not possible due to the urgent or sensitive nature of the matter,</w:t>
      </w:r>
      <w:r w:rsidRPr="0086220E">
        <w:rPr>
          <w:rFonts w:ascii="Arial" w:hAnsi="Arial" w:cs="Arial"/>
        </w:rPr>
        <w:t xml:space="preserve"> as soon as possible thereafter</w:t>
      </w:r>
      <w:r>
        <w:rPr>
          <w:rFonts w:ascii="Arial" w:hAnsi="Arial" w:cs="Arial"/>
        </w:rPr>
        <w:t>.</w:t>
      </w:r>
    </w:p>
    <w:p w14:paraId="2E283EA3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8F7B91F" w14:textId="26387DB3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 w:rsidRPr="0086220E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Pr="0086220E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Pr="0086220E">
        <w:rPr>
          <w:rFonts w:ascii="Arial" w:hAnsi="Arial" w:cs="Arial"/>
        </w:rPr>
        <w:t xml:space="preserve"> will not normally be required to meet with the Risk Assessment Panel.  However, there may be certain circumstances where the Risk Assessment Panel feels this will be necessary.</w:t>
      </w:r>
      <w:r>
        <w:rPr>
          <w:rFonts w:ascii="Arial" w:hAnsi="Arial" w:cs="Arial"/>
        </w:rPr>
        <w:t xml:space="preserve"> </w:t>
      </w:r>
    </w:p>
    <w:p w14:paraId="3285C629" w14:textId="77777777" w:rsidR="00E73066" w:rsidRPr="00627D38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510FDBF3" w14:textId="3FA1E805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42E8A">
        <w:rPr>
          <w:rFonts w:ascii="Arial" w:hAnsi="Arial" w:cs="Arial"/>
        </w:rPr>
        <w:t>Student Casework Unit</w:t>
      </w:r>
      <w:r>
        <w:rPr>
          <w:rFonts w:ascii="Arial" w:hAnsi="Arial" w:cs="Arial"/>
        </w:rPr>
        <w:t xml:space="preserve"> will write to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>esponding</w:t>
      </w:r>
      <w:r w:rsidR="00CA4E7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to inform them that a Risk Assessment Panel is being convened </w:t>
      </w:r>
      <w:r w:rsidR="00366D37">
        <w:rPr>
          <w:rFonts w:ascii="Arial" w:hAnsi="Arial" w:cs="Arial"/>
        </w:rPr>
        <w:t xml:space="preserve">(other than where the case is urgent, see point </w:t>
      </w:r>
      <w:r w:rsidR="006235F1">
        <w:rPr>
          <w:rFonts w:ascii="Arial" w:hAnsi="Arial" w:cs="Arial"/>
        </w:rPr>
        <w:t>7</w:t>
      </w:r>
      <w:r w:rsidR="00366D37">
        <w:rPr>
          <w:rFonts w:ascii="Arial" w:hAnsi="Arial" w:cs="Arial"/>
        </w:rPr>
        <w:t xml:space="preserve"> above) </w:t>
      </w:r>
      <w:r>
        <w:rPr>
          <w:rFonts w:ascii="Arial" w:hAnsi="Arial" w:cs="Arial"/>
        </w:rPr>
        <w:t xml:space="preserve">and, where appropriate, </w:t>
      </w:r>
      <w:r w:rsidR="00010E41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ask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>esponding</w:t>
      </w:r>
      <w:r w:rsidR="00CA4E7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to provide any other pertinent information. </w:t>
      </w:r>
    </w:p>
    <w:p w14:paraId="6875D6F0" w14:textId="77777777" w:rsidR="00E73066" w:rsidRPr="003D17EC" w:rsidRDefault="00E73066" w:rsidP="00B33C22">
      <w:pPr>
        <w:ind w:left="851" w:hanging="851"/>
        <w:rPr>
          <w:rFonts w:ascii="Arial" w:hAnsi="Arial" w:cs="Arial"/>
        </w:rPr>
      </w:pPr>
    </w:p>
    <w:p w14:paraId="0BC390FA" w14:textId="60C90807" w:rsidR="00E73066" w:rsidRDefault="00BB550E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306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Chair</w:t>
      </w:r>
      <w:r w:rsidR="00E73066">
        <w:rPr>
          <w:rFonts w:ascii="Arial" w:hAnsi="Arial" w:cs="Arial"/>
        </w:rPr>
        <w:t xml:space="preserve"> will write to the </w:t>
      </w:r>
      <w:r w:rsidR="00AE264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esponding </w:t>
      </w:r>
      <w:r w:rsidR="00AE2645">
        <w:rPr>
          <w:rFonts w:ascii="Arial" w:hAnsi="Arial" w:cs="Arial"/>
        </w:rPr>
        <w:t>S</w:t>
      </w:r>
      <w:r w:rsidR="00E73066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>
        <w:rPr>
          <w:rFonts w:ascii="Arial" w:hAnsi="Arial" w:cs="Arial"/>
        </w:rPr>
        <w:t xml:space="preserve"> to provide them with the outcome of the meeting within </w:t>
      </w:r>
      <w:r w:rsidR="00CA4E7F">
        <w:rPr>
          <w:rFonts w:ascii="Arial" w:hAnsi="Arial" w:cs="Arial"/>
        </w:rPr>
        <w:t>two</w:t>
      </w:r>
      <w:r w:rsidR="00E73066">
        <w:rPr>
          <w:rFonts w:ascii="Arial" w:hAnsi="Arial" w:cs="Arial"/>
        </w:rPr>
        <w:t xml:space="preserve"> working days.</w:t>
      </w:r>
    </w:p>
    <w:p w14:paraId="689D8DDA" w14:textId="77777777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7F57C586" w14:textId="61925412" w:rsidR="00E73066" w:rsidRDefault="00E73066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Precautionary action</w:t>
      </w:r>
      <w:r w:rsidR="000C27F1">
        <w:rPr>
          <w:rFonts w:ascii="Arial" w:hAnsi="Arial" w:cs="Arial"/>
        </w:rPr>
        <w:t xml:space="preserve"> must be reasonable and proportionate; such action is not a punishment but a neutral act to allow the University to apply its regulations</w:t>
      </w:r>
      <w:r>
        <w:rPr>
          <w:rFonts w:ascii="Arial" w:hAnsi="Arial" w:cs="Arial"/>
        </w:rPr>
        <w:t>. The following constitutes a non-exhaustive list of examples of precautionary actions</w:t>
      </w:r>
      <w:r w:rsidR="00AE2645">
        <w:rPr>
          <w:rFonts w:ascii="Arial" w:hAnsi="Arial" w:cs="Arial"/>
        </w:rPr>
        <w:t xml:space="preserve"> in respect of a Responding Student/Apprentice</w:t>
      </w:r>
      <w:r>
        <w:rPr>
          <w:rFonts w:ascii="Arial" w:hAnsi="Arial" w:cs="Arial"/>
        </w:rPr>
        <w:t>:</w:t>
      </w:r>
    </w:p>
    <w:p w14:paraId="6541A402" w14:textId="22C8EB5A" w:rsidR="00E73066" w:rsidRPr="00B33C22" w:rsidRDefault="00E73066" w:rsidP="00B33C2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bookmarkStart w:id="0" w:name="_GoBack"/>
      <w:bookmarkEnd w:id="0"/>
      <w:r w:rsidRPr="00B33C22">
        <w:rPr>
          <w:rFonts w:ascii="Arial" w:hAnsi="Arial" w:cs="Arial"/>
        </w:rPr>
        <w:lastRenderedPageBreak/>
        <w:t xml:space="preserve">Temporary suspension from studies; this will be interpreted as </w:t>
      </w:r>
      <w:r w:rsidR="00DC6FC7" w:rsidRPr="00B33C22">
        <w:rPr>
          <w:rFonts w:ascii="Arial" w:hAnsi="Arial" w:cs="Arial"/>
        </w:rPr>
        <w:t xml:space="preserve">temporary </w:t>
      </w:r>
      <w:r w:rsidRPr="00B33C22">
        <w:rPr>
          <w:rFonts w:ascii="Arial" w:hAnsi="Arial" w:cs="Arial"/>
        </w:rPr>
        <w:t xml:space="preserve">exclusion from all University campuses and services, including residential accommodation, unless exceptions are made by the </w:t>
      </w:r>
      <w:r w:rsidR="00CA4E7F" w:rsidRPr="00B33C22">
        <w:rPr>
          <w:rFonts w:ascii="Arial" w:hAnsi="Arial" w:cs="Arial"/>
        </w:rPr>
        <w:t>P</w:t>
      </w:r>
      <w:r w:rsidRPr="00B33C22">
        <w:rPr>
          <w:rFonts w:ascii="Arial" w:hAnsi="Arial" w:cs="Arial"/>
        </w:rPr>
        <w:t xml:space="preserve">anel and communicated to the </w:t>
      </w:r>
      <w:r w:rsidR="00CA4E7F" w:rsidRPr="00B33C22">
        <w:rPr>
          <w:rFonts w:ascii="Arial" w:hAnsi="Arial" w:cs="Arial"/>
        </w:rPr>
        <w:t>Responding S</w:t>
      </w:r>
      <w:r w:rsidRPr="00B33C22">
        <w:rPr>
          <w:rFonts w:ascii="Arial" w:hAnsi="Arial" w:cs="Arial"/>
        </w:rPr>
        <w:t>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in writing.  However, the </w:t>
      </w:r>
      <w:r w:rsidR="00CA4E7F" w:rsidRPr="00B33C22">
        <w:rPr>
          <w:rFonts w:ascii="Arial" w:hAnsi="Arial" w:cs="Arial"/>
        </w:rPr>
        <w:t>Responding S</w:t>
      </w:r>
      <w:r w:rsidRPr="00B33C22">
        <w:rPr>
          <w:rFonts w:ascii="Arial" w:hAnsi="Arial" w:cs="Arial"/>
        </w:rPr>
        <w:t>tudent</w:t>
      </w:r>
      <w:r w:rsidR="00AE2645" w:rsidRPr="00B33C22">
        <w:rPr>
          <w:rFonts w:ascii="Arial" w:hAnsi="Arial" w:cs="Arial"/>
        </w:rPr>
        <w:t>/Apprentice</w:t>
      </w:r>
      <w:r w:rsidRPr="00B33C22">
        <w:rPr>
          <w:rFonts w:ascii="Arial" w:hAnsi="Arial" w:cs="Arial"/>
        </w:rPr>
        <w:t xml:space="preserve"> may visit the campus to access </w:t>
      </w:r>
      <w:r w:rsidRPr="00B33C22">
        <w:rPr>
          <w:rFonts w:ascii="Arial" w:hAnsi="Arial" w:cs="Arial"/>
          <w:spacing w:val="-3"/>
        </w:rPr>
        <w:t xml:space="preserve">any support required in preparing a defence, </w:t>
      </w:r>
      <w:proofErr w:type="spellStart"/>
      <w:r w:rsidRPr="00B33C22">
        <w:rPr>
          <w:rFonts w:ascii="Arial" w:hAnsi="Arial" w:cs="Arial"/>
          <w:spacing w:val="-3"/>
        </w:rPr>
        <w:t>eg</w:t>
      </w:r>
      <w:proofErr w:type="spellEnd"/>
      <w:r w:rsidR="00CA4E7F" w:rsidRPr="00B33C22">
        <w:rPr>
          <w:rFonts w:ascii="Arial" w:hAnsi="Arial" w:cs="Arial"/>
          <w:spacing w:val="-3"/>
        </w:rPr>
        <w:t>,</w:t>
      </w:r>
      <w:r w:rsidRPr="00B33C22">
        <w:rPr>
          <w:rFonts w:ascii="Arial" w:hAnsi="Arial" w:cs="Arial"/>
          <w:spacing w:val="-3"/>
        </w:rPr>
        <w:t xml:space="preserve"> from the Students’ Union or </w:t>
      </w:r>
      <w:r w:rsidR="00FD4C05" w:rsidRPr="00B33C22">
        <w:rPr>
          <w:rFonts w:ascii="Arial" w:hAnsi="Arial" w:cs="Arial"/>
          <w:spacing w:val="-3"/>
        </w:rPr>
        <w:t xml:space="preserve">Student </w:t>
      </w:r>
      <w:r w:rsidRPr="00B33C22">
        <w:rPr>
          <w:rFonts w:ascii="Arial" w:hAnsi="Arial" w:cs="Arial"/>
          <w:spacing w:val="-3"/>
        </w:rPr>
        <w:t xml:space="preserve">Services, providing appointments </w:t>
      </w:r>
      <w:proofErr w:type="gramStart"/>
      <w:r w:rsidRPr="00B33C22">
        <w:rPr>
          <w:rFonts w:ascii="Arial" w:hAnsi="Arial" w:cs="Arial"/>
          <w:spacing w:val="-3"/>
        </w:rPr>
        <w:t>have been made</w:t>
      </w:r>
      <w:proofErr w:type="gramEnd"/>
      <w:r w:rsidR="00FB4E6D" w:rsidRPr="00B33C22">
        <w:rPr>
          <w:rFonts w:ascii="Arial" w:hAnsi="Arial" w:cs="Arial"/>
          <w:spacing w:val="-3"/>
        </w:rPr>
        <w:t xml:space="preserve"> formally and</w:t>
      </w:r>
      <w:r w:rsidRPr="00B33C22">
        <w:rPr>
          <w:rFonts w:ascii="Arial" w:hAnsi="Arial" w:cs="Arial"/>
          <w:spacing w:val="-3"/>
        </w:rPr>
        <w:t xml:space="preserve"> in advance through the Student Casework Unit</w:t>
      </w:r>
      <w:r w:rsidR="00FB4E6D" w:rsidRPr="00B33C22">
        <w:rPr>
          <w:rFonts w:ascii="Arial" w:hAnsi="Arial" w:cs="Arial"/>
          <w:spacing w:val="-3"/>
        </w:rPr>
        <w:t xml:space="preserve"> or other professional services department.</w:t>
      </w:r>
    </w:p>
    <w:p w14:paraId="223DC429" w14:textId="4F28DFC5" w:rsidR="00E73066" w:rsidRPr="00B33C22" w:rsidRDefault="00E73066" w:rsidP="000F04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Temporary exclusion from the campus, or certain areas of the campus (for example the Students’ Union or halls of residence)</w:t>
      </w:r>
      <w:r w:rsidR="00105CDB" w:rsidRPr="00B33C22">
        <w:rPr>
          <w:rFonts w:ascii="Arial" w:hAnsi="Arial" w:cs="Arial"/>
        </w:rPr>
        <w:t>.</w:t>
      </w:r>
      <w:r w:rsidRPr="00B33C22">
        <w:rPr>
          <w:rFonts w:ascii="Arial" w:hAnsi="Arial" w:cs="Arial"/>
        </w:rPr>
        <w:t xml:space="preserve"> </w:t>
      </w:r>
    </w:p>
    <w:p w14:paraId="369B0DCB" w14:textId="785DA110" w:rsidR="00E73066" w:rsidRPr="00B33C22" w:rsidRDefault="00E73066" w:rsidP="000F04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Suspension of access to the University’s IT facilities.</w:t>
      </w:r>
    </w:p>
    <w:p w14:paraId="756D07B9" w14:textId="23A1C7E5" w:rsidR="00E73066" w:rsidRPr="00B33C22" w:rsidRDefault="00E73066" w:rsidP="000F04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 xml:space="preserve">Imposing certain restrictions/conditions (for example </w:t>
      </w:r>
      <w:r w:rsidR="00AE2645" w:rsidRPr="00B33C22">
        <w:rPr>
          <w:rFonts w:ascii="Arial" w:hAnsi="Arial" w:cs="Arial"/>
        </w:rPr>
        <w:t>requiring them to move</w:t>
      </w:r>
      <w:r w:rsidRPr="00B33C22">
        <w:rPr>
          <w:rFonts w:ascii="Arial" w:hAnsi="Arial" w:cs="Arial"/>
        </w:rPr>
        <w:t xml:space="preserve"> accommodation</w:t>
      </w:r>
      <w:r w:rsidR="00AE2645" w:rsidRPr="00B33C22">
        <w:rPr>
          <w:rFonts w:ascii="Arial" w:hAnsi="Arial" w:cs="Arial"/>
        </w:rPr>
        <w:t>,</w:t>
      </w:r>
      <w:r w:rsidRPr="00B33C22">
        <w:rPr>
          <w:rFonts w:ascii="Arial" w:hAnsi="Arial" w:cs="Arial"/>
        </w:rPr>
        <w:t xml:space="preserve"> and/or requiring </w:t>
      </w:r>
      <w:r w:rsidR="00CA4E7F" w:rsidRPr="00B33C22">
        <w:rPr>
          <w:rFonts w:ascii="Arial" w:hAnsi="Arial" w:cs="Arial"/>
        </w:rPr>
        <w:t>them</w:t>
      </w:r>
      <w:r w:rsidRPr="00B33C22">
        <w:rPr>
          <w:rFonts w:ascii="Arial" w:hAnsi="Arial" w:cs="Arial"/>
        </w:rPr>
        <w:t xml:space="preserve"> not to contact specified individuals and/or requiring </w:t>
      </w:r>
      <w:r w:rsidR="00CA4E7F" w:rsidRPr="00B33C22">
        <w:rPr>
          <w:rFonts w:ascii="Arial" w:hAnsi="Arial" w:cs="Arial"/>
        </w:rPr>
        <w:t>them</w:t>
      </w:r>
      <w:r w:rsidRPr="00B33C22">
        <w:rPr>
          <w:rFonts w:ascii="Arial" w:hAnsi="Arial" w:cs="Arial"/>
        </w:rPr>
        <w:t xml:space="preserve"> to attend regular meetings with nominated staff or external agencies).</w:t>
      </w:r>
    </w:p>
    <w:p w14:paraId="72CE4262" w14:textId="25BD0B21" w:rsidR="008507B3" w:rsidRPr="00B33C22" w:rsidRDefault="008507B3" w:rsidP="000F04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Temporary suspension from a placement.</w:t>
      </w:r>
    </w:p>
    <w:p w14:paraId="6DD5A54E" w14:textId="77777777" w:rsidR="00E73066" w:rsidRDefault="00E73066" w:rsidP="000F04C2">
      <w:pPr>
        <w:pStyle w:val="ListParagraph"/>
        <w:ind w:left="1571" w:hanging="360"/>
        <w:rPr>
          <w:rFonts w:ascii="Arial" w:hAnsi="Arial" w:cs="Arial"/>
        </w:rPr>
      </w:pPr>
    </w:p>
    <w:p w14:paraId="70495BB3" w14:textId="6D8CCA74" w:rsidR="0019722E" w:rsidRPr="0019722E" w:rsidRDefault="00C4390B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time-</w:t>
      </w:r>
      <w:r w:rsidR="0019722E" w:rsidRPr="0019722E">
        <w:rPr>
          <w:rFonts w:ascii="Arial" w:hAnsi="Arial" w:cs="Arial"/>
        </w:rPr>
        <w:t>period for review will be set by the Risk Assessment Panel</w:t>
      </w:r>
      <w:proofErr w:type="gramEnd"/>
      <w:r w:rsidR="0019722E" w:rsidRPr="0019722E">
        <w:rPr>
          <w:rFonts w:ascii="Arial" w:hAnsi="Arial" w:cs="Arial"/>
        </w:rPr>
        <w:t xml:space="preserve">, taking the individual circumstances of each case into consideration. </w:t>
      </w:r>
    </w:p>
    <w:p w14:paraId="38339D58" w14:textId="6060B70B" w:rsidR="00E73066" w:rsidRDefault="00E73066" w:rsidP="00B33C22">
      <w:pPr>
        <w:pStyle w:val="ListParagraph"/>
        <w:ind w:left="851" w:hanging="851"/>
        <w:rPr>
          <w:rFonts w:ascii="Arial" w:hAnsi="Arial" w:cs="Arial"/>
        </w:rPr>
      </w:pPr>
      <w:r w:rsidRPr="00D060FE">
        <w:rPr>
          <w:rFonts w:ascii="Arial" w:hAnsi="Arial" w:cs="Arial"/>
        </w:rPr>
        <w:tab/>
      </w:r>
    </w:p>
    <w:p w14:paraId="1F696C4A" w14:textId="1A3DC901" w:rsidR="00DE7AA3" w:rsidRDefault="00DE7AA3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If the actions of the</w:t>
      </w:r>
      <w:r w:rsidR="00CA4E7F">
        <w:rPr>
          <w:rFonts w:ascii="Arial" w:hAnsi="Arial" w:cs="Arial"/>
        </w:rPr>
        <w:t xml:space="preserve"> R</w:t>
      </w:r>
      <w:r w:rsidR="00BB550E">
        <w:rPr>
          <w:rFonts w:ascii="Arial" w:hAnsi="Arial" w:cs="Arial"/>
        </w:rPr>
        <w:t>esponding</w:t>
      </w:r>
      <w:r>
        <w:rPr>
          <w:rFonts w:ascii="Arial" w:hAnsi="Arial" w:cs="Arial"/>
        </w:rPr>
        <w:t xml:space="preserve"> </w:t>
      </w:r>
      <w:r w:rsidR="00CA4E7F">
        <w:rPr>
          <w:rFonts w:ascii="Arial" w:hAnsi="Arial" w:cs="Arial"/>
        </w:rPr>
        <w:t>S</w:t>
      </w:r>
      <w:r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>
        <w:rPr>
          <w:rFonts w:ascii="Arial" w:hAnsi="Arial" w:cs="Arial"/>
        </w:rPr>
        <w:t xml:space="preserve"> have </w:t>
      </w:r>
      <w:proofErr w:type="gramStart"/>
      <w:r>
        <w:rPr>
          <w:rFonts w:ascii="Arial" w:hAnsi="Arial" w:cs="Arial"/>
        </w:rPr>
        <w:t>impacted</w:t>
      </w:r>
      <w:proofErr w:type="gramEnd"/>
      <w:r>
        <w:rPr>
          <w:rFonts w:ascii="Arial" w:hAnsi="Arial" w:cs="Arial"/>
        </w:rPr>
        <w:t xml:space="preserve"> upon another member of the University community, the Risk Assessment Panel will inform them of any precautionary action taken, should that be deemed necessary.</w:t>
      </w:r>
    </w:p>
    <w:p w14:paraId="2F280420" w14:textId="77777777" w:rsidR="00E73066" w:rsidRPr="00D060FE" w:rsidRDefault="00E73066" w:rsidP="00B33C22">
      <w:pPr>
        <w:pStyle w:val="ListParagraph"/>
        <w:ind w:left="851" w:hanging="851"/>
        <w:rPr>
          <w:rFonts w:ascii="Arial" w:hAnsi="Arial" w:cs="Arial"/>
        </w:rPr>
      </w:pPr>
    </w:p>
    <w:p w14:paraId="3ED6E9E7" w14:textId="0DFD377C" w:rsidR="00E73066" w:rsidRPr="00042080" w:rsidRDefault="00000B5E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 xml:space="preserve">esponding </w:t>
      </w:r>
      <w:r w:rsidR="00CA4E7F">
        <w:rPr>
          <w:rFonts w:ascii="Arial" w:hAnsi="Arial" w:cs="Arial"/>
          <w:spacing w:val="-3"/>
        </w:rPr>
        <w:t>S</w:t>
      </w:r>
      <w:r w:rsidR="00E73066" w:rsidRPr="00042080">
        <w:rPr>
          <w:rFonts w:ascii="Arial" w:hAnsi="Arial" w:cs="Arial"/>
          <w:spacing w:val="-3"/>
        </w:rPr>
        <w:t>tudent</w:t>
      </w:r>
      <w:r w:rsidR="00AE2645">
        <w:rPr>
          <w:rFonts w:ascii="Arial" w:hAnsi="Arial" w:cs="Arial"/>
          <w:spacing w:val="-3"/>
        </w:rPr>
        <w:t>/Apprentice</w:t>
      </w:r>
      <w:r>
        <w:rPr>
          <w:rFonts w:ascii="Arial" w:hAnsi="Arial" w:cs="Arial"/>
          <w:spacing w:val="-3"/>
        </w:rPr>
        <w:t xml:space="preserve"> </w:t>
      </w:r>
      <w:r w:rsidR="00FD4C05">
        <w:rPr>
          <w:rFonts w:ascii="Arial" w:hAnsi="Arial" w:cs="Arial"/>
          <w:spacing w:val="-3"/>
        </w:rPr>
        <w:t xml:space="preserve">and the Reporting Party </w:t>
      </w:r>
      <w:proofErr w:type="gramStart"/>
      <w:r>
        <w:rPr>
          <w:rFonts w:ascii="Arial" w:hAnsi="Arial" w:cs="Arial"/>
          <w:spacing w:val="-3"/>
        </w:rPr>
        <w:t xml:space="preserve">will be </w:t>
      </w:r>
      <w:r w:rsidR="00E73066" w:rsidRPr="00042080">
        <w:rPr>
          <w:rFonts w:ascii="Arial" w:hAnsi="Arial" w:cs="Arial"/>
          <w:spacing w:val="-3"/>
        </w:rPr>
        <w:t>advised</w:t>
      </w:r>
      <w:proofErr w:type="gramEnd"/>
      <w:r w:rsidR="00E73066" w:rsidRPr="00042080">
        <w:rPr>
          <w:rFonts w:ascii="Arial" w:hAnsi="Arial" w:cs="Arial"/>
          <w:spacing w:val="-3"/>
        </w:rPr>
        <w:t xml:space="preserve"> to seek</w:t>
      </w:r>
      <w:r w:rsidR="00FD4C05">
        <w:rPr>
          <w:rFonts w:ascii="Arial" w:hAnsi="Arial" w:cs="Arial"/>
          <w:spacing w:val="-3"/>
        </w:rPr>
        <w:t xml:space="preserve"> support and/or</w:t>
      </w:r>
      <w:r w:rsidR="00E73066" w:rsidRPr="00042080">
        <w:rPr>
          <w:rFonts w:ascii="Arial" w:hAnsi="Arial" w:cs="Arial"/>
          <w:spacing w:val="-3"/>
        </w:rPr>
        <w:t xml:space="preserve"> guidance from </w:t>
      </w:r>
      <w:r w:rsidR="00FD4C05">
        <w:rPr>
          <w:rFonts w:ascii="Arial" w:hAnsi="Arial" w:cs="Arial"/>
          <w:spacing w:val="-3"/>
        </w:rPr>
        <w:t xml:space="preserve">Student Services as appropriate, and in particular from </w:t>
      </w:r>
      <w:r w:rsidR="00E73066" w:rsidRPr="00042080">
        <w:rPr>
          <w:rFonts w:ascii="Arial" w:hAnsi="Arial" w:cs="Arial"/>
          <w:spacing w:val="-3"/>
        </w:rPr>
        <w:t>the Student Money Advice team regarding their financial circumstances and the implications of any precautionary action.</w:t>
      </w:r>
    </w:p>
    <w:p w14:paraId="3514FE02" w14:textId="77777777" w:rsidR="00F403FB" w:rsidRPr="00F403FB" w:rsidRDefault="00F403FB" w:rsidP="00B33C22">
      <w:pPr>
        <w:ind w:left="851" w:hanging="851"/>
        <w:rPr>
          <w:rFonts w:ascii="Arial" w:hAnsi="Arial" w:cs="Arial"/>
        </w:rPr>
      </w:pPr>
    </w:p>
    <w:p w14:paraId="6E83108C" w14:textId="1AE713EF" w:rsidR="00DE7AA3" w:rsidRPr="00B33C22" w:rsidRDefault="00EA66BC" w:rsidP="00B33C22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403FB">
        <w:rPr>
          <w:rFonts w:ascii="Arial" w:hAnsi="Arial" w:cs="Arial"/>
        </w:rPr>
        <w:t>.</w:t>
      </w:r>
      <w:r w:rsidR="00F403FB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The </w:t>
      </w:r>
      <w:r w:rsidR="00CA4E7F">
        <w:rPr>
          <w:rFonts w:ascii="Arial" w:hAnsi="Arial" w:cs="Arial"/>
        </w:rPr>
        <w:t>Responding 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may request a review of the outcome of the</w:t>
      </w:r>
      <w:r w:rsidR="00F403FB" w:rsidRPr="00B33C22">
        <w:rPr>
          <w:rFonts w:ascii="Arial" w:hAnsi="Arial" w:cs="Arial"/>
        </w:rPr>
        <w:t xml:space="preserve"> initial decision of the</w:t>
      </w:r>
      <w:r w:rsidR="00E73066" w:rsidRPr="00B33C22">
        <w:rPr>
          <w:rFonts w:ascii="Arial" w:hAnsi="Arial" w:cs="Arial"/>
        </w:rPr>
        <w:t xml:space="preserve"> Risk Assessment Panel</w:t>
      </w:r>
      <w:r w:rsidR="00C4390B">
        <w:rPr>
          <w:rFonts w:ascii="Arial" w:hAnsi="Arial" w:cs="Arial"/>
        </w:rPr>
        <w:t xml:space="preserve"> or any subsequent, more severe decision of a re-convened panel. </w:t>
      </w:r>
      <w:r w:rsidR="00E73066" w:rsidRPr="00B33C22">
        <w:rPr>
          <w:rFonts w:ascii="Arial" w:hAnsi="Arial" w:cs="Arial"/>
        </w:rPr>
        <w:t xml:space="preserve">This </w:t>
      </w:r>
      <w:proofErr w:type="gramStart"/>
      <w:r w:rsidR="00E73066" w:rsidRPr="00B33C22">
        <w:rPr>
          <w:rFonts w:ascii="Arial" w:hAnsi="Arial" w:cs="Arial"/>
        </w:rPr>
        <w:t xml:space="preserve">must be done in writing using the standard form ‘Request for Review of Risk Assessment Panel Outcome’ and submitted to the </w:t>
      </w:r>
      <w:r w:rsidR="007D4F02" w:rsidRPr="00B33C22">
        <w:rPr>
          <w:rFonts w:ascii="Arial" w:hAnsi="Arial" w:cs="Arial"/>
        </w:rPr>
        <w:t>Student Casework Unit</w:t>
      </w:r>
      <w:r w:rsidR="00E73066" w:rsidRPr="00B33C22">
        <w:rPr>
          <w:rFonts w:ascii="Arial" w:hAnsi="Arial" w:cs="Arial"/>
        </w:rPr>
        <w:t xml:space="preserve">, within </w:t>
      </w:r>
      <w:r w:rsidR="00CA4E7F">
        <w:rPr>
          <w:rFonts w:ascii="Arial" w:hAnsi="Arial" w:cs="Arial"/>
        </w:rPr>
        <w:t>five</w:t>
      </w:r>
      <w:r w:rsidR="00E73066" w:rsidRPr="00B33C22">
        <w:rPr>
          <w:rFonts w:ascii="Arial" w:hAnsi="Arial" w:cs="Arial"/>
        </w:rPr>
        <w:t xml:space="preserve"> working days of notification of the </w:t>
      </w:r>
      <w:r w:rsidR="00C54747">
        <w:rPr>
          <w:rFonts w:ascii="Arial" w:hAnsi="Arial" w:cs="Arial"/>
        </w:rPr>
        <w:t>outcome</w:t>
      </w:r>
      <w:proofErr w:type="gramEnd"/>
      <w:r w:rsidR="00E73066" w:rsidRPr="00B33C22">
        <w:rPr>
          <w:rFonts w:ascii="Arial" w:hAnsi="Arial" w:cs="Arial"/>
        </w:rPr>
        <w:t xml:space="preserve">. </w:t>
      </w:r>
    </w:p>
    <w:p w14:paraId="02A758EE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12167190" w14:textId="632356B9" w:rsidR="007D4F02" w:rsidRPr="00B33C22" w:rsidRDefault="00F403FB" w:rsidP="00B33C22">
      <w:pPr>
        <w:ind w:left="851" w:hanging="8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EA66B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D4F02" w:rsidRPr="00B33C22">
        <w:rPr>
          <w:rFonts w:ascii="Arial" w:hAnsi="Arial" w:cs="Arial"/>
        </w:rPr>
        <w:t>The request for review will be considered by a Review Panel</w:t>
      </w:r>
      <w:proofErr w:type="gramEnd"/>
      <w:r w:rsidR="007D4F02" w:rsidRPr="00B33C22">
        <w:rPr>
          <w:rFonts w:ascii="Arial" w:hAnsi="Arial" w:cs="Arial"/>
        </w:rPr>
        <w:t xml:space="preserve"> within 10 working days of receipt.  </w:t>
      </w:r>
    </w:p>
    <w:p w14:paraId="7190D982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09DD8FDE" w14:textId="53DAAE18" w:rsidR="007D4F02" w:rsidRPr="006F40FF" w:rsidRDefault="00EA66BC" w:rsidP="00B33C22">
      <w:pPr>
        <w:pStyle w:val="ListParagraph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  <w:t xml:space="preserve">The </w:t>
      </w:r>
      <w:r w:rsidR="00F403FB">
        <w:rPr>
          <w:rFonts w:ascii="Arial" w:hAnsi="Arial" w:cs="Arial"/>
        </w:rPr>
        <w:t xml:space="preserve">Review Panel </w:t>
      </w:r>
      <w:proofErr w:type="gramStart"/>
      <w:r w:rsidR="00F403FB">
        <w:rPr>
          <w:rFonts w:ascii="Arial" w:hAnsi="Arial" w:cs="Arial"/>
        </w:rPr>
        <w:t>will be</w:t>
      </w:r>
      <w:r w:rsidR="007D4F02" w:rsidRPr="006F40FF">
        <w:rPr>
          <w:rFonts w:ascii="Arial" w:hAnsi="Arial" w:cs="Arial"/>
        </w:rPr>
        <w:t xml:space="preserve"> constituted</w:t>
      </w:r>
      <w:proofErr w:type="gramEnd"/>
      <w:r w:rsidR="007D4F02" w:rsidRPr="006F40FF">
        <w:rPr>
          <w:rFonts w:ascii="Arial" w:hAnsi="Arial" w:cs="Arial"/>
        </w:rPr>
        <w:t xml:space="preserve"> as follows:</w:t>
      </w:r>
    </w:p>
    <w:p w14:paraId="13E4FA43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5261A22C" w14:textId="77777777" w:rsidR="007D4F02" w:rsidRPr="00B33C22" w:rsidRDefault="007D4F02" w:rsidP="00B33C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Vice Chancellor (or nominee);</w:t>
      </w:r>
    </w:p>
    <w:p w14:paraId="069756EB" w14:textId="2D578D97" w:rsidR="007D4F02" w:rsidRPr="00B33C22" w:rsidRDefault="00024789" w:rsidP="00B33C2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3C22">
        <w:rPr>
          <w:rFonts w:ascii="Arial" w:hAnsi="Arial" w:cs="Arial"/>
        </w:rPr>
        <w:t>M</w:t>
      </w:r>
      <w:r w:rsidR="007D4F02" w:rsidRPr="00B33C22">
        <w:rPr>
          <w:rFonts w:ascii="Arial" w:hAnsi="Arial" w:cs="Arial"/>
        </w:rPr>
        <w:t>ember of senior management.</w:t>
      </w:r>
    </w:p>
    <w:p w14:paraId="76EE1C2E" w14:textId="77777777" w:rsidR="007D4F02" w:rsidRPr="006F40FF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27BC145D" w14:textId="069C9EDE" w:rsidR="007D4F02" w:rsidRPr="006F40FF" w:rsidRDefault="007D4F02" w:rsidP="00B33C22">
      <w:pPr>
        <w:ind w:left="851" w:firstLine="0"/>
        <w:rPr>
          <w:rFonts w:ascii="Arial" w:hAnsi="Arial" w:cs="Arial"/>
        </w:rPr>
      </w:pPr>
      <w:r w:rsidRPr="006F40FF">
        <w:rPr>
          <w:rFonts w:ascii="Arial" w:hAnsi="Arial" w:cs="Arial"/>
        </w:rPr>
        <w:t xml:space="preserve">In the case of a difference of opinion between </w:t>
      </w:r>
      <w:r w:rsidR="00024789">
        <w:rPr>
          <w:rFonts w:ascii="Arial" w:hAnsi="Arial" w:cs="Arial"/>
        </w:rPr>
        <w:t>the two members of the P</w:t>
      </w:r>
      <w:r w:rsidRPr="006F40FF">
        <w:rPr>
          <w:rFonts w:ascii="Arial" w:hAnsi="Arial" w:cs="Arial"/>
        </w:rPr>
        <w:t>anel, the Vice-Chancellor (or nominee) will have the casting vote.</w:t>
      </w:r>
    </w:p>
    <w:p w14:paraId="7565ECCD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623A7D71" w14:textId="625D6107" w:rsidR="007D4F02" w:rsidRPr="006F40FF" w:rsidRDefault="004B76B9" w:rsidP="00B33C22">
      <w:pPr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7D4F02" w:rsidRPr="006F40FF">
        <w:rPr>
          <w:rFonts w:ascii="Arial" w:hAnsi="Arial" w:cs="Arial"/>
        </w:rPr>
        <w:t>ecretary</w:t>
      </w:r>
      <w:r w:rsidR="007D4F02">
        <w:rPr>
          <w:rFonts w:ascii="Arial" w:hAnsi="Arial" w:cs="Arial"/>
        </w:rPr>
        <w:t>, who is not a member of the Review Panel</w:t>
      </w:r>
      <w:r w:rsidR="00C4390B">
        <w:rPr>
          <w:rFonts w:ascii="Arial" w:hAnsi="Arial" w:cs="Arial"/>
        </w:rPr>
        <w:t>,</w:t>
      </w:r>
      <w:r w:rsidR="007D4F02">
        <w:rPr>
          <w:rFonts w:ascii="Arial" w:hAnsi="Arial" w:cs="Arial"/>
        </w:rPr>
        <w:t xml:space="preserve"> </w:t>
      </w:r>
      <w:r w:rsidR="007D4F02" w:rsidRPr="006F40FF">
        <w:rPr>
          <w:rFonts w:ascii="Arial" w:hAnsi="Arial" w:cs="Arial"/>
        </w:rPr>
        <w:t>will be prese</w:t>
      </w:r>
      <w:r w:rsidR="007D4F02">
        <w:rPr>
          <w:rFonts w:ascii="Arial" w:hAnsi="Arial" w:cs="Arial"/>
        </w:rPr>
        <w:t xml:space="preserve">nt throughout the proceedings. </w:t>
      </w:r>
      <w:r>
        <w:rPr>
          <w:rFonts w:ascii="Arial" w:hAnsi="Arial" w:cs="Arial"/>
        </w:rPr>
        <w:t>The S</w:t>
      </w:r>
      <w:r w:rsidR="007D4F02" w:rsidRPr="006F40FF">
        <w:rPr>
          <w:rFonts w:ascii="Arial" w:hAnsi="Arial" w:cs="Arial"/>
        </w:rPr>
        <w:t xml:space="preserve">ecretary will be the </w:t>
      </w:r>
      <w:r w:rsidR="007D4F02">
        <w:rPr>
          <w:rFonts w:ascii="Arial" w:hAnsi="Arial" w:cs="Arial"/>
        </w:rPr>
        <w:t>Associate Registrar (Student Casework)</w:t>
      </w:r>
      <w:r w:rsidR="00010E41">
        <w:rPr>
          <w:rFonts w:ascii="Arial" w:hAnsi="Arial" w:cs="Arial"/>
        </w:rPr>
        <w:t>, or nominee</w:t>
      </w:r>
      <w:r w:rsidR="007D4F02" w:rsidRPr="006F40FF">
        <w:rPr>
          <w:rFonts w:ascii="Arial" w:hAnsi="Arial" w:cs="Arial"/>
        </w:rPr>
        <w:t>.</w:t>
      </w:r>
    </w:p>
    <w:p w14:paraId="78EB3363" w14:textId="77777777" w:rsidR="007D4F02" w:rsidRPr="006F40FF" w:rsidRDefault="007D4F02" w:rsidP="00B33C22">
      <w:pPr>
        <w:ind w:left="851" w:hanging="851"/>
        <w:rPr>
          <w:rFonts w:ascii="Arial" w:hAnsi="Arial" w:cs="Arial"/>
        </w:rPr>
      </w:pPr>
    </w:p>
    <w:p w14:paraId="721F46E9" w14:textId="289ADDB3" w:rsidR="007D4F02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  <w:r w:rsidRPr="006F40FF">
        <w:rPr>
          <w:rFonts w:ascii="Arial" w:hAnsi="Arial" w:cs="Arial"/>
          <w:spacing w:val="-3"/>
        </w:rPr>
        <w:tab/>
      </w:r>
      <w:r w:rsidR="00B33C22">
        <w:rPr>
          <w:rFonts w:ascii="Arial" w:hAnsi="Arial" w:cs="Arial"/>
          <w:spacing w:val="-3"/>
        </w:rPr>
        <w:tab/>
      </w:r>
      <w:r w:rsidRPr="006F40FF">
        <w:rPr>
          <w:rFonts w:ascii="Arial" w:hAnsi="Arial" w:cs="Arial"/>
          <w:spacing w:val="-3"/>
        </w:rPr>
        <w:t>The members of the Review Panel will have had no previous involvement with the cas</w:t>
      </w:r>
      <w:r>
        <w:rPr>
          <w:rFonts w:ascii="Arial" w:hAnsi="Arial" w:cs="Arial"/>
          <w:spacing w:val="-3"/>
        </w:rPr>
        <w:t xml:space="preserve">e or association with the </w:t>
      </w:r>
      <w:r w:rsidR="00F403FB">
        <w:rPr>
          <w:rFonts w:ascii="Arial" w:hAnsi="Arial" w:cs="Arial"/>
          <w:spacing w:val="-3"/>
        </w:rPr>
        <w:t>student</w:t>
      </w:r>
      <w:r w:rsidRPr="006F40FF">
        <w:rPr>
          <w:rFonts w:ascii="Arial" w:hAnsi="Arial" w:cs="Arial"/>
          <w:spacing w:val="-3"/>
        </w:rPr>
        <w:t>.</w:t>
      </w:r>
    </w:p>
    <w:p w14:paraId="3DC365B1" w14:textId="0C211856" w:rsidR="007D4F02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</w:p>
    <w:p w14:paraId="6CAF5755" w14:textId="37D06B9B" w:rsidR="007D4F02" w:rsidRDefault="00EA66BC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18</w:t>
      </w:r>
      <w:r w:rsidR="007D4F02">
        <w:rPr>
          <w:rFonts w:ascii="Arial" w:hAnsi="Arial" w:cs="Arial"/>
          <w:spacing w:val="-3"/>
        </w:rPr>
        <w:t>.</w:t>
      </w:r>
      <w:r w:rsidR="007D4F02">
        <w:rPr>
          <w:rFonts w:ascii="Arial" w:hAnsi="Arial" w:cs="Arial"/>
          <w:spacing w:val="-3"/>
        </w:rPr>
        <w:tab/>
      </w:r>
      <w:r w:rsidR="00B33C22">
        <w:rPr>
          <w:rFonts w:ascii="Arial" w:hAnsi="Arial" w:cs="Arial"/>
          <w:spacing w:val="-3"/>
        </w:rPr>
        <w:tab/>
      </w:r>
      <w:r w:rsidR="007D4F02">
        <w:rPr>
          <w:rFonts w:ascii="Arial" w:hAnsi="Arial" w:cs="Arial"/>
          <w:spacing w:val="-3"/>
        </w:rPr>
        <w:t xml:space="preserve">The Review Panel may request further information from 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>eporting</w:t>
      </w:r>
      <w:r w:rsidR="00C841BA">
        <w:rPr>
          <w:rFonts w:ascii="Arial" w:hAnsi="Arial" w:cs="Arial"/>
          <w:spacing w:val="-3"/>
        </w:rPr>
        <w:t xml:space="preserve"> </w:t>
      </w:r>
      <w:r w:rsidR="00CA4E7F">
        <w:rPr>
          <w:rFonts w:ascii="Arial" w:hAnsi="Arial" w:cs="Arial"/>
          <w:spacing w:val="-3"/>
        </w:rPr>
        <w:t>P</w:t>
      </w:r>
      <w:r w:rsidR="00C841BA">
        <w:rPr>
          <w:rFonts w:ascii="Arial" w:hAnsi="Arial" w:cs="Arial"/>
          <w:spacing w:val="-3"/>
        </w:rPr>
        <w:t>arty</w:t>
      </w:r>
      <w:r w:rsidR="00AE2645">
        <w:rPr>
          <w:rFonts w:ascii="Arial" w:hAnsi="Arial" w:cs="Arial"/>
          <w:spacing w:val="-3"/>
        </w:rPr>
        <w:t xml:space="preserve"> and/or the </w:t>
      </w:r>
      <w:r w:rsidR="00CA4E7F">
        <w:rPr>
          <w:rFonts w:ascii="Arial" w:hAnsi="Arial" w:cs="Arial"/>
          <w:spacing w:val="-3"/>
        </w:rPr>
        <w:t>R</w:t>
      </w:r>
      <w:r w:rsidR="00BB550E">
        <w:rPr>
          <w:rFonts w:ascii="Arial" w:hAnsi="Arial" w:cs="Arial"/>
          <w:spacing w:val="-3"/>
        </w:rPr>
        <w:t xml:space="preserve">esponding </w:t>
      </w:r>
      <w:r w:rsidR="00CA4E7F">
        <w:rPr>
          <w:rFonts w:ascii="Arial" w:hAnsi="Arial" w:cs="Arial"/>
          <w:spacing w:val="-3"/>
        </w:rPr>
        <w:t>S</w:t>
      </w:r>
      <w:r w:rsidR="00F403FB">
        <w:rPr>
          <w:rFonts w:ascii="Arial" w:hAnsi="Arial" w:cs="Arial"/>
          <w:spacing w:val="-3"/>
        </w:rPr>
        <w:t>tudent</w:t>
      </w:r>
      <w:r w:rsidR="00AE2645">
        <w:rPr>
          <w:rFonts w:ascii="Arial" w:hAnsi="Arial" w:cs="Arial"/>
          <w:spacing w:val="-3"/>
        </w:rPr>
        <w:t>/Apprentice</w:t>
      </w:r>
      <w:r w:rsidR="00F403FB">
        <w:rPr>
          <w:rFonts w:ascii="Arial" w:hAnsi="Arial" w:cs="Arial"/>
          <w:spacing w:val="-3"/>
        </w:rPr>
        <w:t xml:space="preserve"> </w:t>
      </w:r>
      <w:r w:rsidR="007D4F02">
        <w:rPr>
          <w:rFonts w:ascii="Arial" w:hAnsi="Arial" w:cs="Arial"/>
          <w:spacing w:val="-3"/>
        </w:rPr>
        <w:t>and/or from the Risk Assessment Panel that made the original decision on precautionary action.</w:t>
      </w:r>
    </w:p>
    <w:p w14:paraId="51BCE091" w14:textId="77777777" w:rsidR="00FE28DF" w:rsidRPr="006F40FF" w:rsidRDefault="00FE28DF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</w:rPr>
      </w:pPr>
    </w:p>
    <w:p w14:paraId="7EA3EF32" w14:textId="5837E30F" w:rsidR="00DE7AA3" w:rsidRPr="00B33C22" w:rsidRDefault="00EA66BC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7D4F02" w:rsidRPr="00B33C22">
        <w:rPr>
          <w:rFonts w:ascii="Arial" w:hAnsi="Arial" w:cs="Arial"/>
        </w:rPr>
        <w:t>The Review Panel</w:t>
      </w:r>
      <w:r w:rsidR="00DE7AA3" w:rsidRPr="00B33C22">
        <w:rPr>
          <w:rFonts w:ascii="Arial" w:hAnsi="Arial" w:cs="Arial"/>
        </w:rPr>
        <w:t>, following consideration of the request for review, may:</w:t>
      </w:r>
    </w:p>
    <w:p w14:paraId="455ACCD1" w14:textId="77777777" w:rsidR="007D4F02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3EC727E4" w14:textId="18B9C4C6" w:rsidR="00DE7AA3" w:rsidRPr="00B33C22" w:rsidRDefault="00627612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</w:rPr>
      </w:pPr>
      <w:r w:rsidRPr="00B33C22">
        <w:rPr>
          <w:rFonts w:ascii="Arial" w:hAnsi="Arial" w:cs="Arial"/>
        </w:rPr>
        <w:t>uphold the original decision of the Risk Assessment Panel;</w:t>
      </w:r>
    </w:p>
    <w:p w14:paraId="29BEA34B" w14:textId="7ADEDD7C" w:rsidR="00627612" w:rsidRPr="00B33C22" w:rsidRDefault="003C1B83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</w:rPr>
      </w:pPr>
      <w:proofErr w:type="gramStart"/>
      <w:r w:rsidRPr="00B33C22">
        <w:rPr>
          <w:rFonts w:ascii="Arial" w:hAnsi="Arial" w:cs="Arial"/>
        </w:rPr>
        <w:t>over-turn</w:t>
      </w:r>
      <w:proofErr w:type="gramEnd"/>
      <w:r w:rsidR="00627612" w:rsidRPr="00B33C22">
        <w:rPr>
          <w:rFonts w:ascii="Arial" w:hAnsi="Arial" w:cs="Arial"/>
        </w:rPr>
        <w:t xml:space="preserve"> the original decision of the Risk Assessment Panel</w:t>
      </w:r>
      <w:r w:rsidRPr="00B33C22">
        <w:rPr>
          <w:rFonts w:ascii="Arial" w:hAnsi="Arial" w:cs="Arial"/>
        </w:rPr>
        <w:t xml:space="preserve"> and </w:t>
      </w:r>
      <w:r w:rsidR="00B33C22" w:rsidRPr="00B33C22">
        <w:rPr>
          <w:rFonts w:ascii="Arial" w:hAnsi="Arial" w:cs="Arial"/>
        </w:rPr>
        <w:t>substitute a</w:t>
      </w:r>
      <w:r w:rsidR="00BA4A0E" w:rsidRPr="00B33C22">
        <w:rPr>
          <w:rFonts w:ascii="Arial" w:hAnsi="Arial" w:cs="Arial"/>
        </w:rPr>
        <w:t xml:space="preserve"> new decision</w:t>
      </w:r>
      <w:r w:rsidRPr="00B33C22">
        <w:rPr>
          <w:rFonts w:ascii="Arial" w:hAnsi="Arial" w:cs="Arial"/>
        </w:rPr>
        <w:t>.</w:t>
      </w:r>
    </w:p>
    <w:p w14:paraId="0B126F48" w14:textId="77777777" w:rsidR="007D4F02" w:rsidRPr="007748E8" w:rsidRDefault="007D4F02" w:rsidP="00B33C22">
      <w:pPr>
        <w:pStyle w:val="ListParagraph"/>
        <w:ind w:left="851" w:hanging="851"/>
        <w:rPr>
          <w:rFonts w:ascii="Arial" w:hAnsi="Arial" w:cs="Arial"/>
        </w:rPr>
      </w:pPr>
    </w:p>
    <w:p w14:paraId="0CB6DE93" w14:textId="3C329158" w:rsidR="00E73066" w:rsidRPr="00B33C22" w:rsidRDefault="00EA66BC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D4F02">
        <w:rPr>
          <w:rFonts w:ascii="Arial" w:hAnsi="Arial" w:cs="Arial"/>
        </w:rPr>
        <w:t>.</w:t>
      </w:r>
      <w:r w:rsidR="007D4F02"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The </w:t>
      </w:r>
      <w:r w:rsidR="00627612">
        <w:rPr>
          <w:rFonts w:ascii="Arial" w:hAnsi="Arial" w:cs="Arial"/>
        </w:rPr>
        <w:t>University and/or the</w:t>
      </w:r>
      <w:r w:rsidR="00CA4E7F">
        <w:rPr>
          <w:rFonts w:ascii="Arial" w:hAnsi="Arial" w:cs="Arial"/>
        </w:rPr>
        <w:t xml:space="preserve"> R</w:t>
      </w:r>
      <w:r w:rsidR="00BB550E">
        <w:rPr>
          <w:rFonts w:ascii="Arial" w:hAnsi="Arial" w:cs="Arial"/>
        </w:rPr>
        <w:t>esponding</w:t>
      </w:r>
      <w:r w:rsidR="00627612">
        <w:rPr>
          <w:rFonts w:ascii="Arial" w:hAnsi="Arial" w:cs="Arial"/>
        </w:rPr>
        <w:t xml:space="preserve"> </w:t>
      </w:r>
      <w:r w:rsidR="00CA4E7F">
        <w:rPr>
          <w:rFonts w:ascii="Arial" w:hAnsi="Arial" w:cs="Arial"/>
        </w:rPr>
        <w:t>S</w:t>
      </w:r>
      <w:r w:rsidR="00F403FB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F403FB" w:rsidRPr="00B33C22">
        <w:rPr>
          <w:rFonts w:ascii="Arial" w:hAnsi="Arial" w:cs="Arial"/>
        </w:rPr>
        <w:t xml:space="preserve"> </w:t>
      </w:r>
      <w:r w:rsidR="00E73066" w:rsidRPr="00B33C22">
        <w:rPr>
          <w:rFonts w:ascii="Arial" w:hAnsi="Arial" w:cs="Arial"/>
        </w:rPr>
        <w:t>is able to request a review of the decision at any stage if there is a material change in the circumstances of the case</w:t>
      </w:r>
      <w:r w:rsidR="00366D37">
        <w:rPr>
          <w:rFonts w:ascii="Arial" w:hAnsi="Arial" w:cs="Arial"/>
        </w:rPr>
        <w:t xml:space="preserve"> or if new evidence comes to light</w:t>
      </w:r>
      <w:r w:rsidR="00E73066" w:rsidRPr="00B33C22">
        <w:rPr>
          <w:rFonts w:ascii="Arial" w:hAnsi="Arial" w:cs="Arial"/>
        </w:rPr>
        <w:t>.</w:t>
      </w:r>
    </w:p>
    <w:p w14:paraId="5E855989" w14:textId="77777777" w:rsidR="00E73066" w:rsidRPr="00ED7663" w:rsidRDefault="00E73066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</w:p>
    <w:p w14:paraId="3CC8B616" w14:textId="7AFEB4DB" w:rsidR="00E73066" w:rsidRPr="00B33C22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If no disciplinary action </w:t>
      </w:r>
      <w:proofErr w:type="gramStart"/>
      <w:r w:rsidR="00E73066" w:rsidRPr="00B33C22">
        <w:rPr>
          <w:rFonts w:ascii="Arial" w:hAnsi="Arial" w:cs="Arial"/>
        </w:rPr>
        <w:t>is subsequently taken</w:t>
      </w:r>
      <w:proofErr w:type="gramEnd"/>
      <w:r w:rsidR="00627612">
        <w:rPr>
          <w:rFonts w:ascii="Arial" w:hAnsi="Arial" w:cs="Arial"/>
        </w:rPr>
        <w:t>,</w:t>
      </w:r>
      <w:r w:rsidR="00E73066" w:rsidRPr="00B33C22">
        <w:rPr>
          <w:rFonts w:ascii="Arial" w:hAnsi="Arial" w:cs="Arial"/>
        </w:rPr>
        <w:t xml:space="preserve"> the University will ensure so far as possible that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has not been disadvantaged by the suspension. </w:t>
      </w:r>
    </w:p>
    <w:p w14:paraId="7AFE313F" w14:textId="77777777" w:rsidR="00E73066" w:rsidRPr="00184C31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14:paraId="04B43421" w14:textId="5061FB07" w:rsidR="00E73066" w:rsidRPr="00B33C22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Failure on the part of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to comply with the decision of the Risk Assessment Panel will immediately trigger a review</w:t>
      </w:r>
      <w:r w:rsidR="00FD4C05">
        <w:rPr>
          <w:rFonts w:ascii="Arial" w:hAnsi="Arial" w:cs="Arial"/>
        </w:rPr>
        <w:t xml:space="preserve"> by the Risk Assessment Panel</w:t>
      </w:r>
      <w:r w:rsidR="00E73066" w:rsidRPr="00B33C22">
        <w:rPr>
          <w:rFonts w:ascii="Arial" w:hAnsi="Arial" w:cs="Arial"/>
        </w:rPr>
        <w:t xml:space="preserve">, which may result in more serious measures </w:t>
      </w:r>
      <w:proofErr w:type="gramStart"/>
      <w:r w:rsidR="00E73066" w:rsidRPr="00B33C22">
        <w:rPr>
          <w:rFonts w:ascii="Arial" w:hAnsi="Arial" w:cs="Arial"/>
        </w:rPr>
        <w:t>being put</w:t>
      </w:r>
      <w:proofErr w:type="gramEnd"/>
      <w:r w:rsidR="00E73066" w:rsidRPr="00B33C22">
        <w:rPr>
          <w:rFonts w:ascii="Arial" w:hAnsi="Arial" w:cs="Arial"/>
        </w:rPr>
        <w:t xml:space="preserve"> in place or an immediate referral to the University’s Student Conduct</w:t>
      </w:r>
      <w:r w:rsidR="007C500B">
        <w:rPr>
          <w:rFonts w:ascii="Arial" w:hAnsi="Arial" w:cs="Arial"/>
        </w:rPr>
        <w:t xml:space="preserve"> or Fitness to Practise</w:t>
      </w:r>
      <w:r w:rsidR="00E73066" w:rsidRPr="00B33C22">
        <w:rPr>
          <w:rFonts w:ascii="Arial" w:hAnsi="Arial" w:cs="Arial"/>
        </w:rPr>
        <w:t xml:space="preserve"> Regulations.</w:t>
      </w:r>
    </w:p>
    <w:p w14:paraId="10407B61" w14:textId="77777777" w:rsidR="00E73066" w:rsidRPr="00184C31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</w:rPr>
      </w:pPr>
    </w:p>
    <w:p w14:paraId="14CA0438" w14:textId="739A381E" w:rsidR="00E73066" w:rsidRDefault="007D4F0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66B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 w:rsidR="00E73066" w:rsidRPr="00B33C22">
        <w:rPr>
          <w:rFonts w:ascii="Arial" w:hAnsi="Arial" w:cs="Arial"/>
        </w:rPr>
        <w:t xml:space="preserve">Refusal by the </w:t>
      </w:r>
      <w:r w:rsidR="00CA4E7F">
        <w:rPr>
          <w:rFonts w:ascii="Arial" w:hAnsi="Arial" w:cs="Arial"/>
        </w:rPr>
        <w:t>R</w:t>
      </w:r>
      <w:r w:rsidR="00BB550E">
        <w:rPr>
          <w:rFonts w:ascii="Arial" w:hAnsi="Arial" w:cs="Arial"/>
        </w:rPr>
        <w:t xml:space="preserve">esponding </w:t>
      </w:r>
      <w:r w:rsidR="00CA4E7F">
        <w:rPr>
          <w:rFonts w:ascii="Arial" w:hAnsi="Arial" w:cs="Arial"/>
        </w:rPr>
        <w:t>S</w:t>
      </w:r>
      <w:r w:rsidR="00E73066" w:rsidRPr="00B33C22">
        <w:rPr>
          <w:rFonts w:ascii="Arial" w:hAnsi="Arial" w:cs="Arial"/>
        </w:rPr>
        <w:t>tudent</w:t>
      </w:r>
      <w:r w:rsidR="00AE2645">
        <w:rPr>
          <w:rFonts w:ascii="Arial" w:hAnsi="Arial" w:cs="Arial"/>
        </w:rPr>
        <w:t>/Apprentice</w:t>
      </w:r>
      <w:r w:rsidR="00E73066" w:rsidRPr="00B33C22">
        <w:rPr>
          <w:rFonts w:ascii="Arial" w:hAnsi="Arial" w:cs="Arial"/>
        </w:rPr>
        <w:t xml:space="preserve"> to meet the conditions/requirements of the Risk Assessment Panel</w:t>
      </w:r>
      <w:r w:rsidR="007547B3">
        <w:rPr>
          <w:rFonts w:ascii="Arial" w:hAnsi="Arial" w:cs="Arial"/>
        </w:rPr>
        <w:t xml:space="preserve"> may</w:t>
      </w:r>
      <w:r w:rsidR="00E73066" w:rsidRPr="00B33C22">
        <w:rPr>
          <w:rFonts w:ascii="Arial" w:hAnsi="Arial" w:cs="Arial"/>
        </w:rPr>
        <w:t xml:space="preserve"> result in referral to the University’s Student Conduct</w:t>
      </w:r>
      <w:r w:rsidR="007547B3">
        <w:rPr>
          <w:rFonts w:ascii="Arial" w:hAnsi="Arial" w:cs="Arial"/>
        </w:rPr>
        <w:t xml:space="preserve"> or Fitness to Practise</w:t>
      </w:r>
      <w:r w:rsidR="00E73066" w:rsidRPr="00B33C22">
        <w:rPr>
          <w:rFonts w:ascii="Arial" w:hAnsi="Arial" w:cs="Arial"/>
        </w:rPr>
        <w:t xml:space="preserve"> Regulations.</w:t>
      </w:r>
    </w:p>
    <w:p w14:paraId="7D465FE3" w14:textId="0FD98CB1" w:rsidR="00F34422" w:rsidRDefault="00F34422" w:rsidP="00B33C22">
      <w:pPr>
        <w:tabs>
          <w:tab w:val="left" w:pos="426"/>
        </w:tabs>
        <w:ind w:left="851" w:hanging="851"/>
        <w:rPr>
          <w:rFonts w:ascii="Arial" w:hAnsi="Arial" w:cs="Arial"/>
        </w:rPr>
      </w:pPr>
    </w:p>
    <w:p w14:paraId="251092DD" w14:textId="46D5605F" w:rsidR="00E73066" w:rsidRDefault="00F34422" w:rsidP="00B33C22">
      <w:pPr>
        <w:tabs>
          <w:tab w:val="left" w:pos="426"/>
        </w:tabs>
        <w:ind w:left="851" w:hanging="851"/>
        <w:rPr>
          <w:rFonts w:ascii="Arial" w:hAnsi="Arial" w:cs="Arial"/>
        </w:rPr>
        <w:sectPr w:rsidR="00E73066" w:rsidSect="009E07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</w:r>
      <w:r w:rsidR="00B33C22">
        <w:rPr>
          <w:rFonts w:ascii="Arial" w:hAnsi="Arial" w:cs="Arial"/>
        </w:rPr>
        <w:tab/>
      </w:r>
      <w:r>
        <w:rPr>
          <w:rFonts w:ascii="Arial" w:hAnsi="Arial" w:cs="Arial"/>
        </w:rPr>
        <w:t>In the case of Apprentices, referrals to the Risk Assessment Procedure, and outcomes as a result of such referral, will be reported to the</w:t>
      </w:r>
      <w:r w:rsidR="00317F71">
        <w:rPr>
          <w:rFonts w:ascii="Arial" w:hAnsi="Arial" w:cs="Arial"/>
        </w:rPr>
        <w:t xml:space="preserve"> Dean of Faculty (or nominee)</w:t>
      </w:r>
      <w:r>
        <w:rPr>
          <w:rFonts w:ascii="Arial" w:hAnsi="Arial" w:cs="Arial"/>
        </w:rPr>
        <w:t>, who will inform the Apprentice’s employer.</w:t>
      </w:r>
    </w:p>
    <w:p w14:paraId="4FFC2147" w14:textId="77777777" w:rsidR="002D1C31" w:rsidRDefault="002D1C31" w:rsidP="002D1C31">
      <w:pPr>
        <w:jc w:val="center"/>
        <w:rPr>
          <w:rFonts w:ascii="Arial" w:hAnsi="Arial" w:cs="Arial"/>
          <w:b/>
        </w:rPr>
      </w:pPr>
      <w:r w:rsidRPr="00F51F78">
        <w:rPr>
          <w:rFonts w:ascii="Arial" w:hAnsi="Arial" w:cs="Arial"/>
          <w:b/>
        </w:rPr>
        <w:lastRenderedPageBreak/>
        <w:t>STUDENT CONDUCT: RISK ASSESSMENT FORM</w:t>
      </w:r>
    </w:p>
    <w:p w14:paraId="16958473" w14:textId="77777777" w:rsidR="002D1C31" w:rsidRPr="00F51F78" w:rsidRDefault="002D1C31" w:rsidP="002D1C3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2D1C31" w:rsidRPr="00F51F78" w14:paraId="6A7A3B53" w14:textId="77777777" w:rsidTr="003D2026">
        <w:tc>
          <w:tcPr>
            <w:tcW w:w="3510" w:type="dxa"/>
          </w:tcPr>
          <w:p w14:paraId="0106F996" w14:textId="77777777" w:rsidR="002D1C31" w:rsidRPr="008D772B" w:rsidRDefault="002D1C31" w:rsidP="003D2026">
            <w:pPr>
              <w:rPr>
                <w:b/>
              </w:rPr>
            </w:pPr>
            <w:r w:rsidRPr="001271E7">
              <w:rPr>
                <w:b/>
              </w:rPr>
              <w:t>Name of Responding Student</w:t>
            </w:r>
          </w:p>
        </w:tc>
        <w:tc>
          <w:tcPr>
            <w:tcW w:w="10664" w:type="dxa"/>
          </w:tcPr>
          <w:p w14:paraId="03A19FC0" w14:textId="77777777" w:rsidR="002D1C31" w:rsidRPr="00A7727D" w:rsidRDefault="002D1C31" w:rsidP="003D2026"/>
        </w:tc>
      </w:tr>
      <w:tr w:rsidR="002D1C31" w:rsidRPr="00F51F78" w14:paraId="362CF3EF" w14:textId="77777777" w:rsidTr="003D2026">
        <w:tc>
          <w:tcPr>
            <w:tcW w:w="3510" w:type="dxa"/>
          </w:tcPr>
          <w:p w14:paraId="6E42DBCA" w14:textId="77777777" w:rsidR="002D1C31" w:rsidRPr="008D772B" w:rsidRDefault="002D1C31" w:rsidP="003D2026">
            <w:pPr>
              <w:rPr>
                <w:b/>
              </w:rPr>
            </w:pPr>
            <w:r w:rsidRPr="001271E7">
              <w:rPr>
                <w:b/>
              </w:rPr>
              <w:t>Enrolment Number</w:t>
            </w:r>
          </w:p>
        </w:tc>
        <w:tc>
          <w:tcPr>
            <w:tcW w:w="10664" w:type="dxa"/>
          </w:tcPr>
          <w:p w14:paraId="15F6BFE8" w14:textId="77777777" w:rsidR="002D1C31" w:rsidRPr="00A7727D" w:rsidRDefault="002D1C31" w:rsidP="003D2026"/>
        </w:tc>
      </w:tr>
      <w:tr w:rsidR="002D1C31" w:rsidRPr="00F51F78" w14:paraId="2A045598" w14:textId="77777777" w:rsidTr="003D2026">
        <w:tc>
          <w:tcPr>
            <w:tcW w:w="3510" w:type="dxa"/>
          </w:tcPr>
          <w:p w14:paraId="7596EAB1" w14:textId="77777777" w:rsidR="002D1C31" w:rsidRPr="008D772B" w:rsidRDefault="002D1C31" w:rsidP="003D2026">
            <w:pPr>
              <w:rPr>
                <w:b/>
              </w:rPr>
            </w:pPr>
            <w:r w:rsidRPr="001271E7">
              <w:rPr>
                <w:b/>
              </w:rPr>
              <w:t>Course and Year of Study</w:t>
            </w:r>
          </w:p>
        </w:tc>
        <w:tc>
          <w:tcPr>
            <w:tcW w:w="10664" w:type="dxa"/>
          </w:tcPr>
          <w:p w14:paraId="39B68475" w14:textId="77777777" w:rsidR="002D1C31" w:rsidRPr="00A7727D" w:rsidRDefault="002D1C31" w:rsidP="003D2026"/>
        </w:tc>
      </w:tr>
      <w:tr w:rsidR="002D1C31" w:rsidRPr="00F51F78" w14:paraId="3544894B" w14:textId="77777777" w:rsidTr="003D2026">
        <w:tc>
          <w:tcPr>
            <w:tcW w:w="3510" w:type="dxa"/>
          </w:tcPr>
          <w:p w14:paraId="035480F0" w14:textId="77777777" w:rsidR="002D1C31" w:rsidRPr="008D772B" w:rsidRDefault="002D1C31" w:rsidP="003D2026">
            <w:pPr>
              <w:rPr>
                <w:b/>
              </w:rPr>
            </w:pPr>
            <w:r w:rsidRPr="001271E7">
              <w:rPr>
                <w:b/>
              </w:rPr>
              <w:t>Faculty</w:t>
            </w:r>
          </w:p>
        </w:tc>
        <w:tc>
          <w:tcPr>
            <w:tcW w:w="10664" w:type="dxa"/>
          </w:tcPr>
          <w:p w14:paraId="5BE32D0F" w14:textId="77777777" w:rsidR="002D1C31" w:rsidRPr="00A7727D" w:rsidRDefault="002D1C31" w:rsidP="003D2026"/>
        </w:tc>
      </w:tr>
      <w:tr w:rsidR="002D1C31" w:rsidRPr="00F51F78" w14:paraId="37C071BB" w14:textId="77777777" w:rsidTr="003D2026">
        <w:tc>
          <w:tcPr>
            <w:tcW w:w="3510" w:type="dxa"/>
          </w:tcPr>
          <w:p w14:paraId="2153E1DB" w14:textId="77777777" w:rsidR="002D1C31" w:rsidRPr="001271E7" w:rsidRDefault="002D1C31" w:rsidP="003D2026">
            <w:pPr>
              <w:rPr>
                <w:b/>
              </w:rPr>
            </w:pPr>
            <w:r w:rsidRPr="001271E7">
              <w:rPr>
                <w:b/>
              </w:rPr>
              <w:t xml:space="preserve">Members of the </w:t>
            </w:r>
            <w:r>
              <w:rPr>
                <w:b/>
              </w:rPr>
              <w:t>Panel</w:t>
            </w:r>
          </w:p>
        </w:tc>
        <w:tc>
          <w:tcPr>
            <w:tcW w:w="10664" w:type="dxa"/>
            <w:shd w:val="clear" w:color="auto" w:fill="auto"/>
          </w:tcPr>
          <w:p w14:paraId="2A0C5FB5" w14:textId="77777777" w:rsidR="002D1C31" w:rsidRPr="00A7727D" w:rsidRDefault="002D1C31" w:rsidP="003D2026"/>
        </w:tc>
      </w:tr>
      <w:tr w:rsidR="002D1C31" w:rsidRPr="00F51F78" w14:paraId="4154FD2B" w14:textId="77777777" w:rsidTr="003D2026">
        <w:tc>
          <w:tcPr>
            <w:tcW w:w="3510" w:type="dxa"/>
          </w:tcPr>
          <w:p w14:paraId="6CD7D7A4" w14:textId="77777777" w:rsidR="002D1C31" w:rsidRPr="001271E7" w:rsidRDefault="002D1C31" w:rsidP="003D2026">
            <w:pPr>
              <w:rPr>
                <w:b/>
              </w:rPr>
            </w:pPr>
            <w:r w:rsidRPr="001271E7">
              <w:rPr>
                <w:b/>
              </w:rPr>
              <w:t>Decision Date</w:t>
            </w:r>
          </w:p>
        </w:tc>
        <w:tc>
          <w:tcPr>
            <w:tcW w:w="10664" w:type="dxa"/>
          </w:tcPr>
          <w:p w14:paraId="2F789E13" w14:textId="77777777" w:rsidR="002D1C31" w:rsidRPr="00A7727D" w:rsidRDefault="002D1C31" w:rsidP="003D2026"/>
        </w:tc>
      </w:tr>
      <w:tr w:rsidR="002D1C31" w:rsidRPr="00F51F78" w14:paraId="2711DCC5" w14:textId="77777777" w:rsidTr="003D2026">
        <w:tc>
          <w:tcPr>
            <w:tcW w:w="3510" w:type="dxa"/>
          </w:tcPr>
          <w:p w14:paraId="74813249" w14:textId="77777777" w:rsidR="002D1C31" w:rsidRPr="001271E7" w:rsidRDefault="002D1C31" w:rsidP="003D2026">
            <w:pPr>
              <w:rPr>
                <w:b/>
              </w:rPr>
            </w:pPr>
            <w:r w:rsidRPr="001271E7">
              <w:rPr>
                <w:b/>
              </w:rPr>
              <w:t>Date to be Reviewed</w:t>
            </w:r>
          </w:p>
        </w:tc>
        <w:tc>
          <w:tcPr>
            <w:tcW w:w="10664" w:type="dxa"/>
          </w:tcPr>
          <w:p w14:paraId="1B73084B" w14:textId="77777777" w:rsidR="002D1C31" w:rsidRPr="00A7727D" w:rsidRDefault="002D1C31" w:rsidP="003D2026"/>
        </w:tc>
      </w:tr>
    </w:tbl>
    <w:p w14:paraId="734F3BE4" w14:textId="77777777" w:rsidR="002D1C31" w:rsidRDefault="002D1C31" w:rsidP="002D1C31">
      <w:pPr>
        <w:rPr>
          <w:rFonts w:ascii="Arial" w:hAnsi="Arial" w:cs="Arial"/>
          <w:b/>
        </w:rPr>
      </w:pPr>
    </w:p>
    <w:p w14:paraId="41B9A139" w14:textId="77777777" w:rsidR="002D1C31" w:rsidRDefault="002D1C31" w:rsidP="002D1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RISK</w:t>
      </w:r>
    </w:p>
    <w:p w14:paraId="096AEA3E" w14:textId="77777777" w:rsidR="002D1C31" w:rsidRPr="00F51F78" w:rsidRDefault="002D1C31" w:rsidP="002D1C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2D1C31" w:rsidRPr="00F51F78" w14:paraId="1E9FFB1D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65A8FA87" w14:textId="77777777" w:rsidR="002D1C31" w:rsidRPr="001271E7" w:rsidRDefault="002D1C31" w:rsidP="003D2026">
            <w:pPr>
              <w:rPr>
                <w:b/>
              </w:rPr>
            </w:pPr>
            <w:r w:rsidRPr="001271E7">
              <w:rPr>
                <w:b/>
              </w:rPr>
              <w:t xml:space="preserve">Summary of current situation </w:t>
            </w:r>
          </w:p>
        </w:tc>
      </w:tr>
      <w:tr w:rsidR="002D1C31" w:rsidRPr="00F51F78" w14:paraId="69B75CCC" w14:textId="77777777" w:rsidTr="003D2026">
        <w:tc>
          <w:tcPr>
            <w:tcW w:w="14170" w:type="dxa"/>
          </w:tcPr>
          <w:p w14:paraId="7A715ADA" w14:textId="77777777" w:rsidR="002D1C31" w:rsidRPr="001271E7" w:rsidRDefault="002D1C31" w:rsidP="003D2026">
            <w:pPr>
              <w:ind w:left="0" w:firstLine="0"/>
            </w:pPr>
          </w:p>
        </w:tc>
      </w:tr>
      <w:tr w:rsidR="002D1C31" w:rsidRPr="003F2055" w14:paraId="71AAC0B4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3A6FE4D6" w14:textId="77777777" w:rsidR="002D1C31" w:rsidRPr="003F2055" w:rsidRDefault="002D1C31" w:rsidP="003D2026">
            <w:pPr>
              <w:rPr>
                <w:b/>
              </w:rPr>
            </w:pPr>
            <w:r w:rsidRPr="003F2055">
              <w:rPr>
                <w:b/>
                <w:color w:val="000000"/>
              </w:rPr>
              <w:t xml:space="preserve">How would suspending the student from the University mitigate against the risks? </w:t>
            </w:r>
          </w:p>
        </w:tc>
      </w:tr>
      <w:tr w:rsidR="002D1C31" w:rsidRPr="003F2055" w14:paraId="73A12E4B" w14:textId="77777777" w:rsidTr="003D2026">
        <w:tc>
          <w:tcPr>
            <w:tcW w:w="14170" w:type="dxa"/>
          </w:tcPr>
          <w:p w14:paraId="3EAFA6DC" w14:textId="77777777" w:rsidR="002D1C31" w:rsidRPr="003F2055" w:rsidRDefault="002D1C31" w:rsidP="003D2026">
            <w:pPr>
              <w:ind w:left="0" w:firstLine="0"/>
            </w:pPr>
          </w:p>
        </w:tc>
      </w:tr>
      <w:tr w:rsidR="002D1C31" w:rsidRPr="00F51F78" w14:paraId="26A2B2C5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0979F46D" w14:textId="77777777" w:rsidR="002D1C31" w:rsidRPr="001271E7" w:rsidRDefault="002D1C31" w:rsidP="003D202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271E7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How would withdrawing access from particular facilities/areas of the university mitigate against the risks?</w:t>
            </w:r>
          </w:p>
        </w:tc>
      </w:tr>
      <w:tr w:rsidR="002D1C31" w:rsidRPr="00F51F78" w14:paraId="0269E77C" w14:textId="77777777" w:rsidTr="003D2026">
        <w:tc>
          <w:tcPr>
            <w:tcW w:w="14170" w:type="dxa"/>
          </w:tcPr>
          <w:p w14:paraId="4AB0F9BF" w14:textId="77777777" w:rsidR="002D1C31" w:rsidRPr="001271E7" w:rsidRDefault="002D1C31" w:rsidP="003D2026">
            <w:pPr>
              <w:ind w:left="0" w:firstLine="0"/>
            </w:pPr>
          </w:p>
        </w:tc>
      </w:tr>
      <w:tr w:rsidR="002D1C31" w:rsidRPr="00DC08A0" w14:paraId="0A663042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33E24462" w14:textId="77777777" w:rsidR="002D1C31" w:rsidRPr="00DC08A0" w:rsidRDefault="002D1C31" w:rsidP="003D2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would imposing certain restrictions/conditions mitigate against the risks?</w:t>
            </w:r>
          </w:p>
        </w:tc>
      </w:tr>
      <w:tr w:rsidR="002D1C31" w:rsidRPr="00DC08A0" w14:paraId="3ACFE323" w14:textId="77777777" w:rsidTr="003D2026">
        <w:tc>
          <w:tcPr>
            <w:tcW w:w="14170" w:type="dxa"/>
            <w:shd w:val="clear" w:color="auto" w:fill="auto"/>
          </w:tcPr>
          <w:p w14:paraId="0D56177E" w14:textId="77777777" w:rsidR="002D1C31" w:rsidRPr="00DC08A0" w:rsidRDefault="002D1C31" w:rsidP="003D2026">
            <w:pPr>
              <w:ind w:left="0" w:firstLine="0"/>
              <w:rPr>
                <w:b/>
                <w:color w:val="000000"/>
              </w:rPr>
            </w:pPr>
          </w:p>
        </w:tc>
      </w:tr>
      <w:tr w:rsidR="002D1C31" w:rsidRPr="00F51F78" w14:paraId="25150C42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54498F8E" w14:textId="77777777" w:rsidR="002D1C31" w:rsidRPr="001271E7" w:rsidRDefault="002D1C31" w:rsidP="003D2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could the consequences of any precautionary action be mitigated/managed</w:t>
            </w:r>
          </w:p>
        </w:tc>
      </w:tr>
      <w:tr w:rsidR="002D1C31" w:rsidRPr="00F51F78" w14:paraId="6DCDF95F" w14:textId="77777777" w:rsidTr="003D2026">
        <w:tc>
          <w:tcPr>
            <w:tcW w:w="14170" w:type="dxa"/>
            <w:shd w:val="clear" w:color="auto" w:fill="auto"/>
          </w:tcPr>
          <w:p w14:paraId="3384195E" w14:textId="77777777" w:rsidR="002D1C31" w:rsidRPr="00F51F78" w:rsidRDefault="002D1C31" w:rsidP="003D2026">
            <w:pPr>
              <w:ind w:left="0" w:firstLine="0"/>
              <w:rPr>
                <w:b/>
                <w:color w:val="000000"/>
              </w:rPr>
            </w:pPr>
          </w:p>
        </w:tc>
      </w:tr>
    </w:tbl>
    <w:p w14:paraId="11E4A3A1" w14:textId="77777777" w:rsidR="002D1C31" w:rsidRDefault="002D1C31" w:rsidP="002D1C31">
      <w:pPr>
        <w:rPr>
          <w:rFonts w:ascii="Arial" w:hAnsi="Arial" w:cs="Arial"/>
          <w:b/>
        </w:rPr>
      </w:pPr>
    </w:p>
    <w:p w14:paraId="0B66238B" w14:textId="77777777" w:rsidR="002D1C31" w:rsidRDefault="002D1C31" w:rsidP="002D1C31">
      <w:pPr>
        <w:rPr>
          <w:rFonts w:ascii="Arial" w:hAnsi="Arial" w:cs="Arial"/>
          <w:b/>
        </w:rPr>
      </w:pPr>
      <w:r w:rsidRPr="001271E7">
        <w:rPr>
          <w:rFonts w:ascii="Arial" w:hAnsi="Arial" w:cs="Arial"/>
          <w:b/>
        </w:rPr>
        <w:t>ASSESSMENT OF RISK</w:t>
      </w:r>
    </w:p>
    <w:p w14:paraId="686E4CFB" w14:textId="77777777" w:rsidR="002D1C31" w:rsidRDefault="002D1C31" w:rsidP="002D1C31">
      <w:pPr>
        <w:rPr>
          <w:rFonts w:ascii="Arial" w:hAnsi="Arial" w:cs="Arial"/>
          <w:b/>
        </w:rPr>
      </w:pP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256"/>
        <w:gridCol w:w="1729"/>
        <w:gridCol w:w="1094"/>
        <w:gridCol w:w="899"/>
        <w:gridCol w:w="1993"/>
        <w:gridCol w:w="1372"/>
        <w:gridCol w:w="621"/>
        <w:gridCol w:w="2186"/>
      </w:tblGrid>
      <w:tr w:rsidR="002D1C31" w:rsidRPr="005F571C" w14:paraId="02D62EA8" w14:textId="77777777" w:rsidTr="003D2026">
        <w:trPr>
          <w:trHeight w:val="479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2FF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82CEF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0946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C938FC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BFD2D" w14:textId="77777777" w:rsidR="002D1C31" w:rsidRDefault="002D1C31" w:rsidP="003D2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to the well</w:t>
            </w:r>
          </w:p>
          <w:p w14:paraId="7D4C9B2F" w14:textId="77777777" w:rsidR="002D1C31" w:rsidRDefault="002D1C31" w:rsidP="003D2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being and safety</w:t>
            </w:r>
          </w:p>
          <w:p w14:paraId="7EEA533B" w14:textId="77777777" w:rsidR="002D1C31" w:rsidRDefault="002D1C31" w:rsidP="003D2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the responding</w:t>
            </w:r>
          </w:p>
          <w:p w14:paraId="7E87F3B1" w14:textId="77777777" w:rsidR="002D1C31" w:rsidRDefault="002D1C31" w:rsidP="003D2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 reporting</w:t>
            </w:r>
          </w:p>
          <w:p w14:paraId="409CD7D8" w14:textId="77777777" w:rsidR="002D1C31" w:rsidRDefault="002D1C31" w:rsidP="003D2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and</w:t>
            </w:r>
          </w:p>
          <w:p w14:paraId="5C114DC3" w14:textId="77777777" w:rsidR="002D1C31" w:rsidRPr="005F571C" w:rsidRDefault="002D1C31" w:rsidP="003D2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71C">
              <w:rPr>
                <w:rFonts w:ascii="Arial" w:hAnsi="Arial" w:cs="Arial"/>
                <w:b/>
                <w:sz w:val="20"/>
                <w:szCs w:val="20"/>
              </w:rPr>
              <w:t xml:space="preserve">others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8F2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Almost Certain</w:t>
            </w:r>
          </w:p>
          <w:p w14:paraId="3C86ACFE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6524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51DFD9E3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C21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653FCF87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6793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6FD7641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60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CF12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2CE2B8C9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C94B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415206A8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240</w:t>
            </w:r>
          </w:p>
        </w:tc>
      </w:tr>
      <w:tr w:rsidR="002D1C31" w:rsidRPr="005F571C" w14:paraId="15B1741A" w14:textId="77777777" w:rsidTr="003D202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88B6A" w14:textId="77777777" w:rsidR="002D1C31" w:rsidRPr="005F571C" w:rsidRDefault="002D1C31" w:rsidP="003D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5E0B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Likely</w:t>
            </w:r>
          </w:p>
          <w:p w14:paraId="33B99234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B64B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0EA0608C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93BB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79C44199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9486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4BEFC1F4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45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8F6C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72BAFDA5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90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93DD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73B22E9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0000"/>
                <w:sz w:val="20"/>
                <w:szCs w:val="20"/>
              </w:rPr>
              <w:t>180</w:t>
            </w:r>
          </w:p>
        </w:tc>
      </w:tr>
      <w:tr w:rsidR="002D1C31" w:rsidRPr="005F571C" w14:paraId="76A047F2" w14:textId="77777777" w:rsidTr="003D2026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FD400" w14:textId="77777777" w:rsidR="002D1C31" w:rsidRPr="005F571C" w:rsidRDefault="002D1C31" w:rsidP="003D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D394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Slight</w:t>
            </w:r>
          </w:p>
          <w:p w14:paraId="62A5847E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CAAB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51E3A87C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76E4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56B4CB23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F466" w14:textId="77777777" w:rsidR="002D1C31" w:rsidRPr="00233548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33548">
              <w:rPr>
                <w:rFonts w:ascii="Arial" w:hAnsi="Arial" w:cs="Arial"/>
                <w:color w:val="00B050"/>
                <w:sz w:val="20"/>
                <w:szCs w:val="20"/>
              </w:rPr>
              <w:t>Medium</w:t>
            </w:r>
          </w:p>
          <w:p w14:paraId="2769E278" w14:textId="77777777" w:rsidR="002D1C31" w:rsidRPr="00233548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233548">
              <w:rPr>
                <w:rFonts w:ascii="Arial" w:hAnsi="Arial" w:cs="Arial"/>
                <w:color w:val="00B050"/>
                <w:sz w:val="20"/>
                <w:szCs w:val="20"/>
              </w:rPr>
              <w:t>25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E159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High</w:t>
            </w:r>
          </w:p>
          <w:p w14:paraId="42CEDF4F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FFC000"/>
                <w:sz w:val="20"/>
                <w:szCs w:val="20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BA96" w14:textId="77777777" w:rsidR="002D1C31" w:rsidRPr="00D44211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4211">
              <w:rPr>
                <w:rFonts w:ascii="Arial" w:hAnsi="Arial" w:cs="Arial"/>
                <w:color w:val="FF0000"/>
                <w:sz w:val="20"/>
                <w:szCs w:val="20"/>
              </w:rPr>
              <w:t>Very High</w:t>
            </w:r>
          </w:p>
          <w:p w14:paraId="2E57BAA6" w14:textId="77777777" w:rsidR="002D1C31" w:rsidRPr="00D44211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44211">
              <w:rPr>
                <w:rFonts w:ascii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2D1C31" w:rsidRPr="005F571C" w14:paraId="303C7D0E" w14:textId="77777777" w:rsidTr="003D2026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5005A" w14:textId="77777777" w:rsidR="002D1C31" w:rsidRPr="005F571C" w:rsidRDefault="002D1C31" w:rsidP="003D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7D33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Unlikely</w:t>
            </w:r>
          </w:p>
          <w:p w14:paraId="289ED4C9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F2E4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2C5406CC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7E3A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381840CD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C820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225C2A53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7C8E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0D473B97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C7D5" w14:textId="77777777" w:rsidR="002D1C31" w:rsidRPr="007572EA" w:rsidRDefault="002D1C31" w:rsidP="003D20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72EA"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  <w:p w14:paraId="3E8FDDCB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2EA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</w:tr>
      <w:tr w:rsidR="002D1C31" w:rsidRPr="005F571C" w14:paraId="26419F6A" w14:textId="77777777" w:rsidTr="003D2026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64BE5" w14:textId="77777777" w:rsidR="002D1C31" w:rsidRPr="005F571C" w:rsidRDefault="002D1C31" w:rsidP="003D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407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Rare</w:t>
            </w:r>
          </w:p>
          <w:p w14:paraId="08B72E5C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23E9" w14:textId="77777777" w:rsidR="002D1C31" w:rsidRPr="00D37900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37900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46C08D17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37900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977A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Low</w:t>
            </w:r>
          </w:p>
          <w:p w14:paraId="464D0148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F875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3EE6570D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708E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7D38C176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CFD2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Medium</w:t>
            </w:r>
          </w:p>
          <w:p w14:paraId="3ACB59D2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color w:val="92D050"/>
                <w:sz w:val="20"/>
                <w:szCs w:val="20"/>
              </w:rPr>
              <w:t>20</w:t>
            </w:r>
          </w:p>
        </w:tc>
      </w:tr>
      <w:tr w:rsidR="002D1C31" w:rsidRPr="005F571C" w14:paraId="1CB377A8" w14:textId="77777777" w:rsidTr="003D2026">
        <w:trPr>
          <w:trHeight w:val="2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D5BFB" w14:textId="77777777" w:rsidR="002D1C31" w:rsidRPr="005F571C" w:rsidRDefault="002D1C31" w:rsidP="003D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880C" w14:textId="77777777" w:rsidR="002D1C31" w:rsidRPr="005F571C" w:rsidRDefault="002D1C31" w:rsidP="003D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025C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Negligible</w:t>
            </w:r>
          </w:p>
          <w:p w14:paraId="281560A2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8FF3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5AD2DA8F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7F08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Moderate</w:t>
            </w:r>
          </w:p>
          <w:p w14:paraId="2E71430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42D2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Major</w:t>
            </w:r>
          </w:p>
          <w:p w14:paraId="6C245ABD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E671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Severe</w:t>
            </w:r>
          </w:p>
          <w:p w14:paraId="7BCA5889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D1C31" w:rsidRPr="005F571C" w14:paraId="59CD7CF5" w14:textId="77777777" w:rsidTr="003D2026">
        <w:trPr>
          <w:trHeight w:val="70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337C" w14:textId="77777777" w:rsidR="002D1C31" w:rsidRPr="005F571C" w:rsidRDefault="002D1C31" w:rsidP="003D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F283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71C">
              <w:rPr>
                <w:rFonts w:ascii="Arial" w:hAnsi="Arial" w:cs="Arial"/>
                <w:b/>
                <w:sz w:val="20"/>
                <w:szCs w:val="20"/>
              </w:rPr>
              <w:t>Risk to the feelings of vulnerability within the University community and potential damage to the University’s reputation</w:t>
            </w:r>
          </w:p>
        </w:tc>
      </w:tr>
      <w:tr w:rsidR="002D1C31" w:rsidRPr="005F571C" w14:paraId="7B682B4E" w14:textId="77777777" w:rsidTr="003D2026">
        <w:trPr>
          <w:trHeight w:val="70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961A" w14:textId="77777777" w:rsidR="002D1C31" w:rsidRDefault="002D1C31" w:rsidP="003D2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E27C8" w14:textId="77777777" w:rsidR="002D1C31" w:rsidRPr="00057AE8" w:rsidRDefault="002D1C31" w:rsidP="003D2026">
            <w:pPr>
              <w:jc w:val="center"/>
              <w:rPr>
                <w:rFonts w:ascii="Arial" w:hAnsi="Arial" w:cs="Arial"/>
                <w:b/>
              </w:rPr>
            </w:pPr>
            <w:r w:rsidRPr="00057AE8">
              <w:rPr>
                <w:rFonts w:ascii="Arial" w:hAnsi="Arial" w:cs="Arial"/>
                <w:b/>
              </w:rPr>
              <w:t>Pre-mitigation risk assessment score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04F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7D991" w14:textId="77777777" w:rsidR="002D1C31" w:rsidRDefault="002D1C31" w:rsidP="003D2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28BD6" w14:textId="77777777" w:rsidR="002D1C31" w:rsidRPr="00057AE8" w:rsidRDefault="002D1C31" w:rsidP="003D2026">
            <w:pPr>
              <w:jc w:val="center"/>
              <w:rPr>
                <w:rFonts w:ascii="Arial" w:hAnsi="Arial" w:cs="Arial"/>
                <w:b/>
              </w:rPr>
            </w:pPr>
            <w:r w:rsidRPr="00057AE8">
              <w:rPr>
                <w:rFonts w:ascii="Arial" w:hAnsi="Arial" w:cs="Arial"/>
                <w:b/>
              </w:rPr>
              <w:t>Post-mitigation risk assessment score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377" w14:textId="77777777" w:rsidR="002D1C31" w:rsidRPr="005F571C" w:rsidRDefault="002D1C31" w:rsidP="003D2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5251EF" w14:textId="77777777" w:rsidR="002D1C31" w:rsidRDefault="002D1C31" w:rsidP="002D1C31">
      <w:pPr>
        <w:rPr>
          <w:rFonts w:ascii="Arial" w:hAnsi="Arial" w:cs="Arial"/>
          <w:b/>
        </w:rPr>
      </w:pPr>
    </w:p>
    <w:p w14:paraId="7F1E2EBD" w14:textId="77777777" w:rsidR="002D1C31" w:rsidRDefault="002D1C31" w:rsidP="002D1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14:paraId="43F3FE99" w14:textId="77777777" w:rsidR="002D1C31" w:rsidRDefault="002D1C31" w:rsidP="002D1C31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2D1C31" w:rsidRPr="00DC08A0" w14:paraId="4534C01D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027B09D4" w14:textId="77777777" w:rsidR="002D1C31" w:rsidRPr="00DC08A0" w:rsidRDefault="002D1C31" w:rsidP="003D2026">
            <w:pPr>
              <w:ind w:left="0" w:firstLine="0"/>
              <w:rPr>
                <w:b/>
              </w:rPr>
            </w:pPr>
            <w:r w:rsidRPr="00DC08A0">
              <w:rPr>
                <w:b/>
                <w:bCs/>
                <w:color w:val="000000"/>
              </w:rPr>
              <w:t>Overall decision</w:t>
            </w:r>
            <w:r>
              <w:rPr>
                <w:b/>
                <w:bCs/>
                <w:color w:val="000000"/>
              </w:rPr>
              <w:t xml:space="preserve"> and </w:t>
            </w:r>
            <w:r w:rsidRPr="00DC08A0">
              <w:rPr>
                <w:b/>
                <w:color w:val="000000"/>
              </w:rPr>
              <w:t>justification for the decision made</w:t>
            </w:r>
          </w:p>
        </w:tc>
      </w:tr>
      <w:tr w:rsidR="002D1C31" w:rsidRPr="00DC08A0" w14:paraId="71FACE74" w14:textId="77777777" w:rsidTr="003D2026">
        <w:tc>
          <w:tcPr>
            <w:tcW w:w="14170" w:type="dxa"/>
          </w:tcPr>
          <w:p w14:paraId="13BAF7ED" w14:textId="77777777" w:rsidR="002D1C31" w:rsidRDefault="002D1C31" w:rsidP="003D2026">
            <w:pPr>
              <w:ind w:left="0" w:firstLine="0"/>
            </w:pPr>
          </w:p>
          <w:p w14:paraId="06C5EBFC" w14:textId="77777777" w:rsidR="002D1C31" w:rsidRPr="00DC08A0" w:rsidRDefault="002D1C31" w:rsidP="003D2026">
            <w:pPr>
              <w:ind w:left="0" w:firstLine="0"/>
            </w:pPr>
          </w:p>
        </w:tc>
      </w:tr>
      <w:tr w:rsidR="002D1C31" w:rsidRPr="00DC08A0" w14:paraId="4E7B3EB4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3DCF22EA" w14:textId="77777777" w:rsidR="002D1C31" w:rsidRPr="00DC08A0" w:rsidRDefault="002D1C31" w:rsidP="003D2026">
            <w:pPr>
              <w:rPr>
                <w:b/>
              </w:rPr>
            </w:pPr>
            <w:r w:rsidRPr="00DC08A0">
              <w:rPr>
                <w:b/>
                <w:bCs/>
                <w:color w:val="000000"/>
              </w:rPr>
              <w:t>Communication mechanisms (who needs to be informed and the level of detail to be provided)</w:t>
            </w:r>
          </w:p>
        </w:tc>
      </w:tr>
      <w:tr w:rsidR="002D1C31" w:rsidRPr="00DC08A0" w14:paraId="08C86B37" w14:textId="77777777" w:rsidTr="003D2026">
        <w:tc>
          <w:tcPr>
            <w:tcW w:w="14170" w:type="dxa"/>
            <w:shd w:val="clear" w:color="auto" w:fill="FFFFFF" w:themeFill="background1"/>
          </w:tcPr>
          <w:p w14:paraId="6921551B" w14:textId="77777777" w:rsidR="002D1C31" w:rsidRDefault="002D1C31" w:rsidP="003D2026">
            <w:pPr>
              <w:rPr>
                <w:b/>
                <w:bCs/>
                <w:color w:val="000000"/>
              </w:rPr>
            </w:pPr>
          </w:p>
          <w:p w14:paraId="3ECAE538" w14:textId="77777777" w:rsidR="002D1C31" w:rsidRPr="00E71258" w:rsidRDefault="002D1C31" w:rsidP="003D2026">
            <w:pPr>
              <w:ind w:left="22" w:hanging="22"/>
              <w:rPr>
                <w:bCs/>
                <w:color w:val="000000"/>
              </w:rPr>
            </w:pPr>
          </w:p>
        </w:tc>
      </w:tr>
    </w:tbl>
    <w:p w14:paraId="0BC5D69B" w14:textId="77777777" w:rsidR="002D1C31" w:rsidRDefault="002D1C31" w:rsidP="002D1C31">
      <w:pPr>
        <w:ind w:left="0" w:firstLine="0"/>
        <w:rPr>
          <w:rFonts w:ascii="Arial" w:hAnsi="Arial" w:cs="Arial"/>
          <w:color w:val="1F497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2D1C31" w14:paraId="34578D7A" w14:textId="77777777" w:rsidTr="003D2026">
        <w:tc>
          <w:tcPr>
            <w:tcW w:w="3510" w:type="dxa"/>
          </w:tcPr>
          <w:p w14:paraId="41E484C6" w14:textId="77777777" w:rsidR="002D1C31" w:rsidRPr="002D1C31" w:rsidRDefault="002D1C31" w:rsidP="003D2026">
            <w:pPr>
              <w:rPr>
                <w:b/>
              </w:rPr>
            </w:pPr>
            <w:r w:rsidRPr="002D1C31">
              <w:rPr>
                <w:b/>
              </w:rPr>
              <w:t>Signature of Chair</w:t>
            </w:r>
          </w:p>
        </w:tc>
        <w:tc>
          <w:tcPr>
            <w:tcW w:w="10664" w:type="dxa"/>
          </w:tcPr>
          <w:p w14:paraId="76C66682" w14:textId="77777777" w:rsidR="002D1C31" w:rsidRDefault="002D1C31" w:rsidP="003D2026">
            <w:pPr>
              <w:rPr>
                <w:b/>
              </w:rPr>
            </w:pPr>
          </w:p>
        </w:tc>
      </w:tr>
      <w:tr w:rsidR="002D1C31" w14:paraId="4D4A2F97" w14:textId="77777777" w:rsidTr="003D2026">
        <w:tc>
          <w:tcPr>
            <w:tcW w:w="3510" w:type="dxa"/>
          </w:tcPr>
          <w:p w14:paraId="1DDB4BBA" w14:textId="77777777" w:rsidR="002D1C31" w:rsidRPr="002D1C31" w:rsidRDefault="002D1C31" w:rsidP="003D2026">
            <w:pPr>
              <w:rPr>
                <w:b/>
              </w:rPr>
            </w:pPr>
            <w:r w:rsidRPr="002D1C31">
              <w:rPr>
                <w:b/>
              </w:rPr>
              <w:t>Date</w:t>
            </w:r>
          </w:p>
        </w:tc>
        <w:tc>
          <w:tcPr>
            <w:tcW w:w="10664" w:type="dxa"/>
          </w:tcPr>
          <w:p w14:paraId="00F4E036" w14:textId="77777777" w:rsidR="002D1C31" w:rsidRDefault="002D1C31" w:rsidP="003D2026">
            <w:pPr>
              <w:rPr>
                <w:b/>
              </w:rPr>
            </w:pPr>
          </w:p>
        </w:tc>
      </w:tr>
      <w:tr w:rsidR="002D1C31" w14:paraId="36AD6B73" w14:textId="77777777" w:rsidTr="003D2026">
        <w:tc>
          <w:tcPr>
            <w:tcW w:w="3510" w:type="dxa"/>
          </w:tcPr>
          <w:p w14:paraId="321081A2" w14:textId="77777777" w:rsidR="002D1C31" w:rsidRPr="002D1C31" w:rsidRDefault="002D1C31" w:rsidP="003D2026">
            <w:pPr>
              <w:rPr>
                <w:b/>
              </w:rPr>
            </w:pPr>
            <w:r w:rsidRPr="002D1C31">
              <w:rPr>
                <w:b/>
              </w:rPr>
              <w:t>Date of Review</w:t>
            </w:r>
          </w:p>
        </w:tc>
        <w:tc>
          <w:tcPr>
            <w:tcW w:w="10664" w:type="dxa"/>
          </w:tcPr>
          <w:p w14:paraId="3E49F79F" w14:textId="77777777" w:rsidR="002D1C31" w:rsidRDefault="002D1C31" w:rsidP="003D2026">
            <w:pPr>
              <w:rPr>
                <w:b/>
              </w:rPr>
            </w:pPr>
          </w:p>
        </w:tc>
      </w:tr>
    </w:tbl>
    <w:p w14:paraId="35FFE8B4" w14:textId="77777777" w:rsidR="002D1C31" w:rsidRDefault="002D1C31" w:rsidP="002D1C31">
      <w:pPr>
        <w:rPr>
          <w:rFonts w:ascii="Arial" w:hAnsi="Arial" w:cs="Arial"/>
          <w:b/>
        </w:rPr>
      </w:pPr>
    </w:p>
    <w:p w14:paraId="358F17A2" w14:textId="77777777" w:rsidR="002D1C31" w:rsidRDefault="002D1C31" w:rsidP="002D1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</w:t>
      </w:r>
    </w:p>
    <w:p w14:paraId="4D8A7E50" w14:textId="77777777" w:rsidR="002D1C31" w:rsidRDefault="002D1C31" w:rsidP="002D1C31">
      <w:pPr>
        <w:ind w:left="0" w:firstLine="0"/>
        <w:rPr>
          <w:rFonts w:ascii="Arial" w:hAnsi="Arial" w:cs="Arial"/>
          <w:color w:val="1F497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2D1C31" w:rsidRPr="00DC08A0" w14:paraId="4690D205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551CA272" w14:textId="77777777" w:rsidR="002D1C31" w:rsidRPr="00DC08A0" w:rsidRDefault="002D1C31" w:rsidP="003D2026">
            <w:pPr>
              <w:ind w:left="0" w:firstLine="0"/>
              <w:rPr>
                <w:b/>
              </w:rPr>
            </w:pPr>
            <w:r>
              <w:rPr>
                <w:b/>
                <w:bCs/>
                <w:color w:val="000000"/>
              </w:rPr>
              <w:t>Significant changes since the previous risk assessment</w:t>
            </w:r>
          </w:p>
        </w:tc>
      </w:tr>
      <w:tr w:rsidR="002D1C31" w:rsidRPr="00DC08A0" w14:paraId="74C4F31D" w14:textId="77777777" w:rsidTr="003D2026">
        <w:tc>
          <w:tcPr>
            <w:tcW w:w="14170" w:type="dxa"/>
          </w:tcPr>
          <w:p w14:paraId="3CD5E528" w14:textId="77777777" w:rsidR="002D1C31" w:rsidRPr="00DC08A0" w:rsidRDefault="002D1C31" w:rsidP="003D2026">
            <w:pPr>
              <w:ind w:left="0" w:firstLine="0"/>
            </w:pPr>
          </w:p>
        </w:tc>
      </w:tr>
      <w:tr w:rsidR="002D1C31" w:rsidRPr="00DC08A0" w14:paraId="65A43202" w14:textId="77777777" w:rsidTr="003D2026">
        <w:tc>
          <w:tcPr>
            <w:tcW w:w="14170" w:type="dxa"/>
            <w:shd w:val="clear" w:color="auto" w:fill="D9D9D9" w:themeFill="background1" w:themeFillShade="D9"/>
          </w:tcPr>
          <w:p w14:paraId="42AF9998" w14:textId="77777777" w:rsidR="002D1C31" w:rsidRPr="00DC08A0" w:rsidRDefault="002D1C31" w:rsidP="003D202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Changes to precautionary action required</w:t>
            </w:r>
          </w:p>
        </w:tc>
      </w:tr>
      <w:tr w:rsidR="002D1C31" w:rsidRPr="00DC08A0" w14:paraId="3D02BB8E" w14:textId="77777777" w:rsidTr="003D2026">
        <w:tc>
          <w:tcPr>
            <w:tcW w:w="14170" w:type="dxa"/>
          </w:tcPr>
          <w:p w14:paraId="671F761A" w14:textId="77777777" w:rsidR="002D1C31" w:rsidRPr="00DC08A0" w:rsidRDefault="002D1C31" w:rsidP="003D2026">
            <w:pPr>
              <w:ind w:left="0" w:firstLine="0"/>
            </w:pPr>
            <w:r>
              <w:t>N/A</w:t>
            </w:r>
          </w:p>
        </w:tc>
      </w:tr>
    </w:tbl>
    <w:p w14:paraId="2CE216F2" w14:textId="77777777" w:rsidR="002D1C31" w:rsidRDefault="002D1C31" w:rsidP="002D1C31">
      <w:pPr>
        <w:ind w:left="0" w:firstLine="0"/>
      </w:pPr>
    </w:p>
    <w:p w14:paraId="00973174" w14:textId="77777777" w:rsidR="00472C32" w:rsidRDefault="00472C32" w:rsidP="002D1C31">
      <w:pPr>
        <w:jc w:val="center"/>
      </w:pPr>
    </w:p>
    <w:sectPr w:rsidR="00472C32" w:rsidSect="00D37900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816AE" w16cid:durableId="20ED9535"/>
  <w16cid:commentId w16cid:paraId="33532B22" w16cid:durableId="20ED95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C282" w14:textId="77777777" w:rsidR="009E076D" w:rsidRDefault="009E076D" w:rsidP="00E73066">
      <w:r>
        <w:separator/>
      </w:r>
    </w:p>
  </w:endnote>
  <w:endnote w:type="continuationSeparator" w:id="0">
    <w:p w14:paraId="10C102D8" w14:textId="77777777" w:rsidR="009E076D" w:rsidRDefault="009E076D" w:rsidP="00E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E303" w14:textId="77777777" w:rsidR="009E076D" w:rsidRDefault="009E076D" w:rsidP="00E73066">
      <w:r>
        <w:separator/>
      </w:r>
    </w:p>
  </w:footnote>
  <w:footnote w:type="continuationSeparator" w:id="0">
    <w:p w14:paraId="6EB066D8" w14:textId="77777777" w:rsidR="009E076D" w:rsidRDefault="009E076D" w:rsidP="00E73066">
      <w:r>
        <w:continuationSeparator/>
      </w:r>
    </w:p>
  </w:footnote>
  <w:footnote w:id="1">
    <w:p w14:paraId="57EEF128" w14:textId="5DB6620F" w:rsidR="009E076D" w:rsidRDefault="009E076D">
      <w:pPr>
        <w:pStyle w:val="FootnoteText"/>
      </w:pPr>
      <w:r>
        <w:rPr>
          <w:rStyle w:val="FootnoteReference"/>
        </w:rPr>
        <w:footnoteRef/>
      </w:r>
      <w:r>
        <w:t xml:space="preserve"> The term safeguarding </w:t>
      </w:r>
      <w:proofErr w:type="gramStart"/>
      <w:r>
        <w:t>is used</w:t>
      </w:r>
      <w:proofErr w:type="gramEnd"/>
      <w:r>
        <w:t xml:space="preserve"> here to refer to the protection of health, well-being and rights of individuals.</w:t>
      </w:r>
    </w:p>
  </w:footnote>
  <w:footnote w:id="2">
    <w:p w14:paraId="238786C3" w14:textId="77777777" w:rsidR="009E076D" w:rsidRDefault="009E076D" w:rsidP="00FB4E6D">
      <w:pPr>
        <w:pStyle w:val="FootnoteText"/>
      </w:pPr>
      <w:r>
        <w:rPr>
          <w:rStyle w:val="FootnoteReference"/>
        </w:rPr>
        <w:footnoteRef/>
      </w:r>
      <w:r>
        <w:t xml:space="preserve"> The Academy Director will only form part of the Risk Assessment Panel where the student involved is</w:t>
      </w:r>
    </w:p>
    <w:p w14:paraId="2149B105" w14:textId="77777777" w:rsidR="009E076D" w:rsidRDefault="009E076D" w:rsidP="00FB4E6D">
      <w:pPr>
        <w:pStyle w:val="FootnoteText"/>
      </w:pPr>
      <w:proofErr w:type="gramStart"/>
      <w:r>
        <w:t>studying</w:t>
      </w:r>
      <w:proofErr w:type="gramEnd"/>
      <w:r>
        <w:t xml:space="preserve"> at the Dubai Campus.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6A"/>
    <w:multiLevelType w:val="hybridMultilevel"/>
    <w:tmpl w:val="8764A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F395D"/>
    <w:multiLevelType w:val="hybridMultilevel"/>
    <w:tmpl w:val="6FF8E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82"/>
    <w:multiLevelType w:val="hybridMultilevel"/>
    <w:tmpl w:val="7E2A83B8"/>
    <w:lvl w:ilvl="0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11E11981"/>
    <w:multiLevelType w:val="hybridMultilevel"/>
    <w:tmpl w:val="4A04F9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62A2A"/>
    <w:multiLevelType w:val="hybridMultilevel"/>
    <w:tmpl w:val="930CE0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A9466A2"/>
    <w:multiLevelType w:val="hybridMultilevel"/>
    <w:tmpl w:val="3EF6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6F3E"/>
    <w:multiLevelType w:val="hybridMultilevel"/>
    <w:tmpl w:val="C88E9B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2F52CD"/>
    <w:multiLevelType w:val="hybridMultilevel"/>
    <w:tmpl w:val="6DA4AE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16D8E"/>
    <w:multiLevelType w:val="hybridMultilevel"/>
    <w:tmpl w:val="47D05D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252BB0"/>
    <w:multiLevelType w:val="hybridMultilevel"/>
    <w:tmpl w:val="84960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68E6"/>
    <w:multiLevelType w:val="hybridMultilevel"/>
    <w:tmpl w:val="28AE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E011B"/>
    <w:multiLevelType w:val="hybridMultilevel"/>
    <w:tmpl w:val="C48816AA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47B656D7"/>
    <w:multiLevelType w:val="hybridMultilevel"/>
    <w:tmpl w:val="84B24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14AEB"/>
    <w:multiLevelType w:val="hybridMultilevel"/>
    <w:tmpl w:val="C19ACA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020"/>
    <w:multiLevelType w:val="hybridMultilevel"/>
    <w:tmpl w:val="4BAED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B97F38"/>
    <w:multiLevelType w:val="hybridMultilevel"/>
    <w:tmpl w:val="9920E4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7DE34D2"/>
    <w:multiLevelType w:val="hybridMultilevel"/>
    <w:tmpl w:val="8D8C96CE"/>
    <w:lvl w:ilvl="0" w:tplc="185C07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5C07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E135E7"/>
    <w:multiLevelType w:val="hybridMultilevel"/>
    <w:tmpl w:val="4792321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0141A20"/>
    <w:multiLevelType w:val="hybridMultilevel"/>
    <w:tmpl w:val="D5F82B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16215C"/>
    <w:multiLevelType w:val="hybridMultilevel"/>
    <w:tmpl w:val="07B89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52A2AA1"/>
    <w:multiLevelType w:val="hybridMultilevel"/>
    <w:tmpl w:val="21200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F757C8"/>
    <w:multiLevelType w:val="hybridMultilevel"/>
    <w:tmpl w:val="D79623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7"/>
  </w:num>
  <w:num w:numId="11">
    <w:abstractNumId w:val="23"/>
  </w:num>
  <w:num w:numId="12">
    <w:abstractNumId w:val="0"/>
  </w:num>
  <w:num w:numId="13">
    <w:abstractNumId w:val="8"/>
  </w:num>
  <w:num w:numId="14">
    <w:abstractNumId w:val="20"/>
  </w:num>
  <w:num w:numId="15">
    <w:abstractNumId w:val="24"/>
  </w:num>
  <w:num w:numId="16">
    <w:abstractNumId w:val="14"/>
  </w:num>
  <w:num w:numId="17">
    <w:abstractNumId w:val="22"/>
  </w:num>
  <w:num w:numId="18">
    <w:abstractNumId w:val="16"/>
  </w:num>
  <w:num w:numId="19">
    <w:abstractNumId w:val="7"/>
  </w:num>
  <w:num w:numId="20">
    <w:abstractNumId w:val="18"/>
  </w:num>
  <w:num w:numId="21">
    <w:abstractNumId w:val="3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6"/>
    <w:rsid w:val="0000018C"/>
    <w:rsid w:val="00000850"/>
    <w:rsid w:val="00000B5E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105CC"/>
    <w:rsid w:val="00010E41"/>
    <w:rsid w:val="0001119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21ED"/>
    <w:rsid w:val="00022240"/>
    <w:rsid w:val="0002244B"/>
    <w:rsid w:val="000227FE"/>
    <w:rsid w:val="00022C20"/>
    <w:rsid w:val="00022F7B"/>
    <w:rsid w:val="00023CA8"/>
    <w:rsid w:val="000240E1"/>
    <w:rsid w:val="000243FB"/>
    <w:rsid w:val="0002446C"/>
    <w:rsid w:val="00024789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4B13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7F1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7DD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1F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04C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CDB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55E2"/>
    <w:rsid w:val="00125E7E"/>
    <w:rsid w:val="001263AD"/>
    <w:rsid w:val="00130DA6"/>
    <w:rsid w:val="00131705"/>
    <w:rsid w:val="00131A15"/>
    <w:rsid w:val="00131CA9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2B15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22E"/>
    <w:rsid w:val="001977F3"/>
    <w:rsid w:val="00197CE8"/>
    <w:rsid w:val="001A01C9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430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54C"/>
    <w:rsid w:val="001D27DA"/>
    <w:rsid w:val="001D2E38"/>
    <w:rsid w:val="001D33DE"/>
    <w:rsid w:val="001D4C30"/>
    <w:rsid w:val="001D6E0B"/>
    <w:rsid w:val="001D7202"/>
    <w:rsid w:val="001D75B5"/>
    <w:rsid w:val="001D7E54"/>
    <w:rsid w:val="001E1740"/>
    <w:rsid w:val="001E23DA"/>
    <w:rsid w:val="001E3122"/>
    <w:rsid w:val="001E3484"/>
    <w:rsid w:val="001E3573"/>
    <w:rsid w:val="001E3D32"/>
    <w:rsid w:val="001E5F3B"/>
    <w:rsid w:val="001E6798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15D7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8065C"/>
    <w:rsid w:val="00281C5C"/>
    <w:rsid w:val="00281ECA"/>
    <w:rsid w:val="00282DEB"/>
    <w:rsid w:val="002831C6"/>
    <w:rsid w:val="002835B2"/>
    <w:rsid w:val="00283D1A"/>
    <w:rsid w:val="002852CC"/>
    <w:rsid w:val="002853D1"/>
    <w:rsid w:val="00285E58"/>
    <w:rsid w:val="00285FE6"/>
    <w:rsid w:val="002870AB"/>
    <w:rsid w:val="00287990"/>
    <w:rsid w:val="00287E01"/>
    <w:rsid w:val="00287F55"/>
    <w:rsid w:val="00290FCF"/>
    <w:rsid w:val="0029189B"/>
    <w:rsid w:val="00291C2A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1C31"/>
    <w:rsid w:val="002D201C"/>
    <w:rsid w:val="002D244E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4B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9F1"/>
    <w:rsid w:val="002F7FBB"/>
    <w:rsid w:val="003002CE"/>
    <w:rsid w:val="00300B53"/>
    <w:rsid w:val="00300DF6"/>
    <w:rsid w:val="003017BD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054"/>
    <w:rsid w:val="0031424C"/>
    <w:rsid w:val="00315B00"/>
    <w:rsid w:val="0031724F"/>
    <w:rsid w:val="00317F71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7DDE"/>
    <w:rsid w:val="0036007A"/>
    <w:rsid w:val="00360B52"/>
    <w:rsid w:val="0036112A"/>
    <w:rsid w:val="003614F5"/>
    <w:rsid w:val="00361733"/>
    <w:rsid w:val="00362125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D37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B1B"/>
    <w:rsid w:val="00376C35"/>
    <w:rsid w:val="00377BE5"/>
    <w:rsid w:val="00377D19"/>
    <w:rsid w:val="003806E9"/>
    <w:rsid w:val="003810B5"/>
    <w:rsid w:val="00381FB3"/>
    <w:rsid w:val="00382771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479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3148"/>
    <w:rsid w:val="003A3448"/>
    <w:rsid w:val="003A361D"/>
    <w:rsid w:val="003A38FE"/>
    <w:rsid w:val="003A5443"/>
    <w:rsid w:val="003A55AF"/>
    <w:rsid w:val="003A599C"/>
    <w:rsid w:val="003A5E24"/>
    <w:rsid w:val="003A610F"/>
    <w:rsid w:val="003A68D1"/>
    <w:rsid w:val="003A70BF"/>
    <w:rsid w:val="003A72CC"/>
    <w:rsid w:val="003B05B3"/>
    <w:rsid w:val="003B09FC"/>
    <w:rsid w:val="003B1860"/>
    <w:rsid w:val="003B1B73"/>
    <w:rsid w:val="003B292D"/>
    <w:rsid w:val="003B3106"/>
    <w:rsid w:val="003B314C"/>
    <w:rsid w:val="003B34D8"/>
    <w:rsid w:val="003B36C5"/>
    <w:rsid w:val="003B3BAF"/>
    <w:rsid w:val="003B4C07"/>
    <w:rsid w:val="003B4FA5"/>
    <w:rsid w:val="003B51EA"/>
    <w:rsid w:val="003B6CFD"/>
    <w:rsid w:val="003B6ECF"/>
    <w:rsid w:val="003C0544"/>
    <w:rsid w:val="003C05E5"/>
    <w:rsid w:val="003C0927"/>
    <w:rsid w:val="003C097A"/>
    <w:rsid w:val="003C0DE9"/>
    <w:rsid w:val="003C1220"/>
    <w:rsid w:val="003C1B83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5F72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ECE"/>
    <w:rsid w:val="00464EB9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1E80"/>
    <w:rsid w:val="004820A1"/>
    <w:rsid w:val="00482B91"/>
    <w:rsid w:val="00484665"/>
    <w:rsid w:val="00484F3F"/>
    <w:rsid w:val="00485EEA"/>
    <w:rsid w:val="0048642E"/>
    <w:rsid w:val="00486BB1"/>
    <w:rsid w:val="0048753E"/>
    <w:rsid w:val="00487D26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6CB"/>
    <w:rsid w:val="004A587E"/>
    <w:rsid w:val="004A6D29"/>
    <w:rsid w:val="004A765C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68D"/>
    <w:rsid w:val="004B76B9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1801"/>
    <w:rsid w:val="004F2A44"/>
    <w:rsid w:val="004F3203"/>
    <w:rsid w:val="004F3495"/>
    <w:rsid w:val="004F3DDB"/>
    <w:rsid w:val="004F3F9B"/>
    <w:rsid w:val="004F3FB7"/>
    <w:rsid w:val="004F4189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686F"/>
    <w:rsid w:val="005170D3"/>
    <w:rsid w:val="005176C8"/>
    <w:rsid w:val="00517CFE"/>
    <w:rsid w:val="00517FBC"/>
    <w:rsid w:val="00520168"/>
    <w:rsid w:val="005204EB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1F78"/>
    <w:rsid w:val="00552455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5DE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39D2"/>
    <w:rsid w:val="005B3FF4"/>
    <w:rsid w:val="005B4D20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29FD"/>
    <w:rsid w:val="005C3190"/>
    <w:rsid w:val="005C3858"/>
    <w:rsid w:val="005C3A59"/>
    <w:rsid w:val="005C3C8C"/>
    <w:rsid w:val="005C3EAE"/>
    <w:rsid w:val="005C5AB7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35F1"/>
    <w:rsid w:val="00624389"/>
    <w:rsid w:val="00624C71"/>
    <w:rsid w:val="00624E0E"/>
    <w:rsid w:val="00625B13"/>
    <w:rsid w:val="00627612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49C0"/>
    <w:rsid w:val="00655448"/>
    <w:rsid w:val="00655E63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39A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6A22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B1B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850"/>
    <w:rsid w:val="00753C21"/>
    <w:rsid w:val="00753F4A"/>
    <w:rsid w:val="007547B3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2C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00B"/>
    <w:rsid w:val="007C5830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4F02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1F90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B85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2E8A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7B3"/>
    <w:rsid w:val="00850D44"/>
    <w:rsid w:val="0085116A"/>
    <w:rsid w:val="0085288E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4934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72B"/>
    <w:rsid w:val="008D7B0F"/>
    <w:rsid w:val="008E225C"/>
    <w:rsid w:val="008E2D4F"/>
    <w:rsid w:val="008E3045"/>
    <w:rsid w:val="008E358B"/>
    <w:rsid w:val="008E3607"/>
    <w:rsid w:val="008E3F98"/>
    <w:rsid w:val="008E5006"/>
    <w:rsid w:val="008E507B"/>
    <w:rsid w:val="008E5102"/>
    <w:rsid w:val="008E5AE6"/>
    <w:rsid w:val="008E5CC8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636"/>
    <w:rsid w:val="008F7FD1"/>
    <w:rsid w:val="0090091A"/>
    <w:rsid w:val="00900A16"/>
    <w:rsid w:val="00901206"/>
    <w:rsid w:val="00901237"/>
    <w:rsid w:val="009027AE"/>
    <w:rsid w:val="00902874"/>
    <w:rsid w:val="009038F6"/>
    <w:rsid w:val="00904418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BAA"/>
    <w:rsid w:val="00940D6E"/>
    <w:rsid w:val="0094142D"/>
    <w:rsid w:val="00941BDB"/>
    <w:rsid w:val="00942F76"/>
    <w:rsid w:val="00943477"/>
    <w:rsid w:val="0094365A"/>
    <w:rsid w:val="00943B97"/>
    <w:rsid w:val="00943FA5"/>
    <w:rsid w:val="009442AC"/>
    <w:rsid w:val="00944617"/>
    <w:rsid w:val="00945660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43BB"/>
    <w:rsid w:val="009D4E88"/>
    <w:rsid w:val="009D5247"/>
    <w:rsid w:val="009D5ECF"/>
    <w:rsid w:val="009D6136"/>
    <w:rsid w:val="009D6968"/>
    <w:rsid w:val="009D6A37"/>
    <w:rsid w:val="009E076D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EF9"/>
    <w:rsid w:val="009F134C"/>
    <w:rsid w:val="009F2007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2EF"/>
    <w:rsid w:val="00A03202"/>
    <w:rsid w:val="00A03A52"/>
    <w:rsid w:val="00A03AC0"/>
    <w:rsid w:val="00A041A1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9C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E0A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D55"/>
    <w:rsid w:val="00A66E45"/>
    <w:rsid w:val="00A7029F"/>
    <w:rsid w:val="00A70820"/>
    <w:rsid w:val="00A70828"/>
    <w:rsid w:val="00A70835"/>
    <w:rsid w:val="00A71032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2F"/>
    <w:rsid w:val="00A8129D"/>
    <w:rsid w:val="00A818C3"/>
    <w:rsid w:val="00A8245A"/>
    <w:rsid w:val="00A83B80"/>
    <w:rsid w:val="00A845CE"/>
    <w:rsid w:val="00A84DB9"/>
    <w:rsid w:val="00A85388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1ECD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2DBB"/>
    <w:rsid w:val="00AB32C5"/>
    <w:rsid w:val="00AB35B7"/>
    <w:rsid w:val="00AB3929"/>
    <w:rsid w:val="00AB3BC6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2B11"/>
    <w:rsid w:val="00AC2D67"/>
    <w:rsid w:val="00AC4151"/>
    <w:rsid w:val="00AC5561"/>
    <w:rsid w:val="00AC5DE7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645"/>
    <w:rsid w:val="00AE272B"/>
    <w:rsid w:val="00AE2C98"/>
    <w:rsid w:val="00AE2DB1"/>
    <w:rsid w:val="00AE3477"/>
    <w:rsid w:val="00AE3FF1"/>
    <w:rsid w:val="00AE4340"/>
    <w:rsid w:val="00AE4B4E"/>
    <w:rsid w:val="00AE4C76"/>
    <w:rsid w:val="00AE5476"/>
    <w:rsid w:val="00AE5654"/>
    <w:rsid w:val="00AE6092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C22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6F6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22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76F"/>
    <w:rsid w:val="00B97820"/>
    <w:rsid w:val="00BA0708"/>
    <w:rsid w:val="00BA1893"/>
    <w:rsid w:val="00BA1DE2"/>
    <w:rsid w:val="00BA2753"/>
    <w:rsid w:val="00BA2C99"/>
    <w:rsid w:val="00BA4A0E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50E"/>
    <w:rsid w:val="00BB56A8"/>
    <w:rsid w:val="00BB730B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1E72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D10"/>
    <w:rsid w:val="00C07D2D"/>
    <w:rsid w:val="00C10493"/>
    <w:rsid w:val="00C109E5"/>
    <w:rsid w:val="00C10EC7"/>
    <w:rsid w:val="00C11085"/>
    <w:rsid w:val="00C115A2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390B"/>
    <w:rsid w:val="00C44440"/>
    <w:rsid w:val="00C44B75"/>
    <w:rsid w:val="00C45467"/>
    <w:rsid w:val="00C462E1"/>
    <w:rsid w:val="00C467F2"/>
    <w:rsid w:val="00C469D6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4747"/>
    <w:rsid w:val="00C550F5"/>
    <w:rsid w:val="00C55153"/>
    <w:rsid w:val="00C556AA"/>
    <w:rsid w:val="00C55F6C"/>
    <w:rsid w:val="00C561E1"/>
    <w:rsid w:val="00C56980"/>
    <w:rsid w:val="00C57FDE"/>
    <w:rsid w:val="00C60DF2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1BA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4E7F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490F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0D3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349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E84"/>
    <w:rsid w:val="00DB0812"/>
    <w:rsid w:val="00DB266D"/>
    <w:rsid w:val="00DB278A"/>
    <w:rsid w:val="00DB2D18"/>
    <w:rsid w:val="00DB4279"/>
    <w:rsid w:val="00DB474E"/>
    <w:rsid w:val="00DB4B7E"/>
    <w:rsid w:val="00DB548D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EFA"/>
    <w:rsid w:val="00DC2787"/>
    <w:rsid w:val="00DC3A38"/>
    <w:rsid w:val="00DC3BF3"/>
    <w:rsid w:val="00DC3C10"/>
    <w:rsid w:val="00DC4422"/>
    <w:rsid w:val="00DC4F35"/>
    <w:rsid w:val="00DC4F90"/>
    <w:rsid w:val="00DC6FC7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1E3"/>
    <w:rsid w:val="00DE683D"/>
    <w:rsid w:val="00DE6F1E"/>
    <w:rsid w:val="00DE7AA3"/>
    <w:rsid w:val="00DF0DB5"/>
    <w:rsid w:val="00DF1E05"/>
    <w:rsid w:val="00DF3640"/>
    <w:rsid w:val="00DF3B9F"/>
    <w:rsid w:val="00DF3F87"/>
    <w:rsid w:val="00DF4342"/>
    <w:rsid w:val="00DF4607"/>
    <w:rsid w:val="00DF5E06"/>
    <w:rsid w:val="00DF66E9"/>
    <w:rsid w:val="00DF7594"/>
    <w:rsid w:val="00DF78F4"/>
    <w:rsid w:val="00DF79D4"/>
    <w:rsid w:val="00E00414"/>
    <w:rsid w:val="00E00F7C"/>
    <w:rsid w:val="00E0141A"/>
    <w:rsid w:val="00E02FA5"/>
    <w:rsid w:val="00E039F6"/>
    <w:rsid w:val="00E03ECB"/>
    <w:rsid w:val="00E0415F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3053"/>
    <w:rsid w:val="00E33084"/>
    <w:rsid w:val="00E332DC"/>
    <w:rsid w:val="00E33771"/>
    <w:rsid w:val="00E3513B"/>
    <w:rsid w:val="00E35D0C"/>
    <w:rsid w:val="00E35FF1"/>
    <w:rsid w:val="00E3622B"/>
    <w:rsid w:val="00E36E98"/>
    <w:rsid w:val="00E37870"/>
    <w:rsid w:val="00E37BCE"/>
    <w:rsid w:val="00E40069"/>
    <w:rsid w:val="00E41156"/>
    <w:rsid w:val="00E416FA"/>
    <w:rsid w:val="00E4174F"/>
    <w:rsid w:val="00E417B5"/>
    <w:rsid w:val="00E436EF"/>
    <w:rsid w:val="00E4381E"/>
    <w:rsid w:val="00E4419D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6F32"/>
    <w:rsid w:val="00E6781E"/>
    <w:rsid w:val="00E67FB6"/>
    <w:rsid w:val="00E700B8"/>
    <w:rsid w:val="00E71BCD"/>
    <w:rsid w:val="00E728FF"/>
    <w:rsid w:val="00E73066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2AC8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6BC"/>
    <w:rsid w:val="00EA694F"/>
    <w:rsid w:val="00EA6BAE"/>
    <w:rsid w:val="00EA740C"/>
    <w:rsid w:val="00EA7CC1"/>
    <w:rsid w:val="00EB1E26"/>
    <w:rsid w:val="00EB3108"/>
    <w:rsid w:val="00EB39B9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74F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AEC"/>
    <w:rsid w:val="00F06E88"/>
    <w:rsid w:val="00F101C7"/>
    <w:rsid w:val="00F10211"/>
    <w:rsid w:val="00F10548"/>
    <w:rsid w:val="00F11271"/>
    <w:rsid w:val="00F12607"/>
    <w:rsid w:val="00F126DD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422"/>
    <w:rsid w:val="00F34BF9"/>
    <w:rsid w:val="00F35377"/>
    <w:rsid w:val="00F354C0"/>
    <w:rsid w:val="00F35664"/>
    <w:rsid w:val="00F358BE"/>
    <w:rsid w:val="00F35B59"/>
    <w:rsid w:val="00F37BEE"/>
    <w:rsid w:val="00F403FB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1F78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35C3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514"/>
    <w:rsid w:val="00FA5611"/>
    <w:rsid w:val="00FA58F1"/>
    <w:rsid w:val="00FA6618"/>
    <w:rsid w:val="00FA6686"/>
    <w:rsid w:val="00FA673C"/>
    <w:rsid w:val="00FA6D3B"/>
    <w:rsid w:val="00FA7480"/>
    <w:rsid w:val="00FB0216"/>
    <w:rsid w:val="00FB0EE6"/>
    <w:rsid w:val="00FB13A4"/>
    <w:rsid w:val="00FB30D7"/>
    <w:rsid w:val="00FB3646"/>
    <w:rsid w:val="00FB36EF"/>
    <w:rsid w:val="00FB3863"/>
    <w:rsid w:val="00FB40C4"/>
    <w:rsid w:val="00FB4E6D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FD9"/>
    <w:rsid w:val="00FD33A9"/>
    <w:rsid w:val="00FD4623"/>
    <w:rsid w:val="00FD4C05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8DF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64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CF5B"/>
  <w15:docId w15:val="{088022A5-25FF-4126-9483-94EBA23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66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2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66"/>
    <w:pPr>
      <w:ind w:left="720"/>
      <w:contextualSpacing/>
    </w:pPr>
  </w:style>
  <w:style w:type="table" w:styleId="TableGrid">
    <w:name w:val="Table Grid"/>
    <w:basedOn w:val="TableNormal"/>
    <w:uiPriority w:val="39"/>
    <w:rsid w:val="00E7306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3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066"/>
    <w:rPr>
      <w:vertAlign w:val="superscript"/>
    </w:rPr>
  </w:style>
  <w:style w:type="table" w:styleId="MediumShading1">
    <w:name w:val="Medium Shading 1"/>
    <w:basedOn w:val="TableNormal"/>
    <w:uiPriority w:val="63"/>
    <w:rsid w:val="00E730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2A"/>
    <w:rPr>
      <w:b/>
      <w:bCs/>
      <w:sz w:val="20"/>
      <w:szCs w:val="20"/>
    </w:rPr>
  </w:style>
  <w:style w:type="character" w:customStyle="1" w:styleId="000Char">
    <w:name w:val="000 Char"/>
    <w:basedOn w:val="DefaultParagraphFont"/>
    <w:rsid w:val="002415D7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551F7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8122F"/>
    <w:rPr>
      <w:color w:val="0000FF"/>
      <w:sz w:val="24"/>
      <w:u w:val="single"/>
    </w:rPr>
  </w:style>
  <w:style w:type="paragraph" w:customStyle="1" w:styleId="Default">
    <w:name w:val="Default"/>
    <w:rsid w:val="00A8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header">
    <w:name w:val="tableheader"/>
    <w:basedOn w:val="Heading5"/>
    <w:rsid w:val="00A8122F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A8122F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22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24kjd">
    <w:name w:val="e24kjd"/>
    <w:basedOn w:val="DefaultParagraphFont"/>
    <w:rsid w:val="0075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AFF0-AC08-441A-B888-21A6C544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E9ED5-D100-40AA-8A70-3C799AB9804D}">
  <ds:schemaRefs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405978-4aaa-4b75-b30c-4bfc0304be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712871-145F-4FC3-A81C-3F82982E8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65F6C-21CF-4163-BB77-0C1B83DC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1723</Words>
  <Characters>8878</Characters>
  <Application>Microsoft Office Word</Application>
  <DocSecurity>0</DocSecurity>
  <Lines>246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2</cp:revision>
  <dcterms:created xsi:type="dcterms:W3CDTF">2020-06-08T13:04:00Z</dcterms:created>
  <dcterms:modified xsi:type="dcterms:W3CDTF">2020-06-08T13:04:00Z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2066200</vt:r8>
  </property>
  <property fmtid="{D5CDD505-2E9C-101B-9397-08002B2CF9AE}" pid="4" name="ComplianceAssetId">
    <vt:lpwstr/>
  </property>
</Properties>
</file>