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19" w:rsidRDefault="00CA66E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STAGE 2</w:t>
                            </w:r>
                            <w:r w:rsidR="0000671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F13138" w:rsidRPr="00D16599" w:rsidRDefault="0000671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ACADEMIC APPEAL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006719" w:rsidRDefault="00CA66E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STAGE 2</w:t>
                      </w:r>
                      <w:r w:rsidR="0000671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F13138" w:rsidRPr="00D16599" w:rsidRDefault="0000671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ACADEMIC APPEAL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4D106C">
        <w:trPr>
          <w:trHeight w:val="214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9602A6" w:rsidRPr="00BF79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053327">
              <w:rPr>
                <w:b/>
                <w:color w:val="000000" w:themeColor="text1"/>
              </w:rPr>
              <w:t xml:space="preserve"> Regulations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9602A6" w:rsidRPr="00BD3C45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Award and Progression Board 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  <w:bookmarkStart w:id="0" w:name="_GoBack"/>
            <w:bookmarkEnd w:id="0"/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assessment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Coursework deadline/date of exam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F646D5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F646D5">
              <w:rPr>
                <w:b/>
                <w:color w:val="000000" w:themeColor="text1"/>
              </w:rPr>
              <w:t>:</w:t>
            </w:r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165" w:rsidRPr="00014DCB" w:rsidRDefault="00E27165" w:rsidP="000158A6">
            <w:pPr>
              <w:rPr>
                <w:b/>
                <w:color w:val="000000" w:themeColor="text1"/>
              </w:rPr>
            </w:pPr>
            <w:proofErr w:type="gramStart"/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to the overall outcome for the academic year?</w:t>
            </w:r>
          </w:p>
          <w:p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E27165" w:rsidRPr="00014DCB">
              <w:rPr>
                <w:i/>
                <w:color w:val="000000" w:themeColor="text1"/>
              </w:rPr>
              <w:t>you have been discontinued from your course or given a repeat year</w:t>
            </w:r>
            <w:r w:rsidRPr="00014DCB">
              <w:rPr>
                <w:i/>
                <w:color w:val="000000" w:themeColor="text1"/>
              </w:rPr>
              <w:t>)</w:t>
            </w:r>
            <w:r w:rsidR="00E27165" w:rsidRPr="00014DCB">
              <w:rPr>
                <w:i/>
                <w:color w:val="000000" w:themeColor="text1"/>
              </w:rPr>
              <w:t xml:space="preserve">  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the award outcome</w:t>
            </w:r>
            <w:r w:rsidR="000158A6" w:rsidRPr="00014DCB">
              <w:rPr>
                <w:b/>
                <w:color w:val="000000" w:themeColor="text1"/>
              </w:rPr>
              <w:t>?</w:t>
            </w:r>
          </w:p>
          <w:p w:rsidR="00E27165" w:rsidRPr="00014DCB" w:rsidRDefault="000158A6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 xml:space="preserve">(e.g. </w:t>
            </w:r>
            <w:r w:rsidR="005969CD" w:rsidRPr="00014DCB">
              <w:rPr>
                <w:i/>
                <w:color w:val="000000" w:themeColor="text1"/>
              </w:rPr>
              <w:t xml:space="preserve">the </w:t>
            </w:r>
            <w:r w:rsidRPr="00014DCB">
              <w:rPr>
                <w:i/>
                <w:color w:val="000000" w:themeColor="text1"/>
              </w:rPr>
              <w:t>degree classification</w:t>
            </w:r>
            <w:r w:rsidR="00E27165" w:rsidRPr="00014DCB">
              <w:rPr>
                <w:i/>
                <w:color w:val="000000" w:themeColor="text1"/>
              </w:rPr>
              <w:t xml:space="preserve"> you were awarded</w:t>
            </w:r>
            <w:r w:rsidRPr="00014DCB">
              <w:rPr>
                <w:i/>
                <w:color w:val="000000" w:themeColor="text1"/>
              </w:rPr>
              <w:t>)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4D106C" w:rsidRDefault="004D106C" w:rsidP="008A7E9C">
      <w:pPr>
        <w:rPr>
          <w:b/>
          <w:color w:val="000000" w:themeColor="text1"/>
        </w:rPr>
      </w:pPr>
    </w:p>
    <w:p w:rsidR="004D106C" w:rsidRDefault="004D106C" w:rsidP="008A7E9C">
      <w:pPr>
        <w:rPr>
          <w:b/>
          <w:color w:val="000000" w:themeColor="text1"/>
        </w:rPr>
      </w:pPr>
    </w:p>
    <w:p w:rsidR="004D106C" w:rsidRDefault="004D106C" w:rsidP="008A7E9C">
      <w:pPr>
        <w:rPr>
          <w:b/>
          <w:color w:val="000000" w:themeColor="text1"/>
        </w:rPr>
      </w:pPr>
    </w:p>
    <w:p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GROUNDS FOR APPEAL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:rsidTr="00A328D5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Pr="0044368B" w:rsidRDefault="0044368B" w:rsidP="0044368B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44368B" w:rsidRPr="002A1BCD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>roper process has not been followed in relation to the assessments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44368B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>here were defects in the advice provided in relation to assessments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A328D5" w:rsidRPr="002A1BCD" w:rsidTr="00FD002B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Default="00A328D5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A328D5">
              <w:rPr>
                <w:color w:val="000000" w:themeColor="text1"/>
              </w:rPr>
              <w:t xml:space="preserve">hat an academic decision </w:t>
            </w:r>
            <w:proofErr w:type="gramStart"/>
            <w:r w:rsidRPr="00A328D5">
              <w:rPr>
                <w:color w:val="000000" w:themeColor="text1"/>
              </w:rPr>
              <w:t>was not arrived at</w:t>
            </w:r>
            <w:proofErr w:type="gramEnd"/>
            <w:r w:rsidRPr="00A328D5">
              <w:rPr>
                <w:color w:val="000000" w:themeColor="text1"/>
              </w:rPr>
              <w:t xml:space="preserve"> in accordance with the regulations of the course.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 xml:space="preserve">lease state what evidence you have attached that would support your claim that material procedural defect or irregularity has occurred and how this has </w:t>
            </w:r>
            <w:proofErr w:type="gramStart"/>
            <w:r w:rsidR="00607145" w:rsidRPr="00607145">
              <w:rPr>
                <w:i/>
                <w:color w:val="A6A6A6" w:themeColor="background1" w:themeShade="A6"/>
              </w:rPr>
              <w:t>impacted on</w:t>
            </w:r>
            <w:proofErr w:type="gramEnd"/>
            <w:r w:rsidR="00607145" w:rsidRPr="00607145">
              <w:rPr>
                <w:i/>
                <w:color w:val="A6A6A6" w:themeColor="background1" w:themeShade="A6"/>
              </w:rPr>
              <w:t xml:space="preserve"> your results.</w:t>
            </w:r>
          </w:p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AF694A" w:rsidRDefault="00AF694A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AF694A">
              <w:rPr>
                <w:i/>
                <w:color w:val="A6A6A6" w:themeColor="background1" w:themeShade="A6"/>
              </w:rPr>
              <w:t xml:space="preserve">Please note that an appeal will not enable your mark to </w:t>
            </w:r>
            <w:proofErr w:type="gramStart"/>
            <w:r w:rsidRPr="00AF694A">
              <w:rPr>
                <w:i/>
                <w:color w:val="A6A6A6" w:themeColor="background1" w:themeShade="A6"/>
              </w:rPr>
              <w:t>be raised</w:t>
            </w:r>
            <w:proofErr w:type="gramEnd"/>
            <w:r w:rsidRPr="00AF694A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FD002B" w:rsidRDefault="00FD002B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9D74DB" w:rsidRDefault="009D74DB" w:rsidP="006B4610">
      <w:pPr>
        <w:rPr>
          <w:b/>
          <w:color w:val="000000" w:themeColor="text1"/>
        </w:rPr>
      </w:pPr>
    </w:p>
    <w:p w:rsidR="006B4610" w:rsidRDefault="006B4610" w:rsidP="006B4610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SPECIFIC REQUIREMENTS</w:t>
      </w:r>
    </w:p>
    <w:p w:rsidR="006B4610" w:rsidRDefault="006B4610" w:rsidP="006B4610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6B4610" w:rsidRPr="00C42245" w:rsidTr="00E65E83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610" w:rsidRPr="00CE213A" w:rsidRDefault="006B4610" w:rsidP="00E65E83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6B4610" w:rsidRPr="00C42245" w:rsidTr="00E65E83">
        <w:trPr>
          <w:trHeight w:val="1584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610" w:rsidRPr="00453F89" w:rsidRDefault="006B4610" w:rsidP="006B4610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5F12A2" w:rsidRDefault="005E42F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STUDENT SUPPORT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Default="0044368B" w:rsidP="005E42F4">
            <w:pPr>
              <w:rPr>
                <w:color w:val="000000" w:themeColor="text1"/>
              </w:rPr>
            </w:pP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For many students the impact of a disability or medical condition on studies can be minimised with appropriate assistance.  It is your responsibility to look after your health and emotional wellbeing and the University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provide confidential individual advice and support.</w:t>
            </w: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If you </w:t>
            </w:r>
            <w:proofErr w:type="gramStart"/>
            <w:r w:rsidRPr="00014DCB">
              <w:rPr>
                <w:b/>
                <w:color w:val="000000" w:themeColor="text1"/>
              </w:rPr>
              <w:t>are currently NOT registered</w:t>
            </w:r>
            <w:proofErr w:type="gramEnd"/>
            <w:r w:rsidRPr="00014DCB">
              <w:rPr>
                <w:b/>
                <w:color w:val="000000" w:themeColor="text1"/>
              </w:rPr>
              <w:t xml:space="preserve"> with the</w:t>
            </w:r>
            <w:r w:rsidR="001864EE">
              <w:rPr>
                <w:b/>
                <w:color w:val="000000" w:themeColor="text1"/>
              </w:rPr>
              <w:t xml:space="preserve">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, and you believe that you have a medical condition or </w:t>
            </w:r>
            <w:r w:rsidR="001864EE" w:rsidRPr="00014DCB">
              <w:rPr>
                <w:b/>
                <w:color w:val="000000" w:themeColor="text1"/>
              </w:rPr>
              <w:t>disability, which</w:t>
            </w:r>
            <w:r w:rsidRPr="00014DCB">
              <w:rPr>
                <w:b/>
                <w:color w:val="000000" w:themeColor="text1"/>
              </w:rPr>
              <w:t xml:space="preserve"> affects your ability to study, you MUST contact </w:t>
            </w:r>
            <w:r w:rsidR="001864EE">
              <w:rPr>
                <w:b/>
                <w:color w:val="000000" w:themeColor="text1"/>
              </w:rPr>
              <w:t xml:space="preserve">the Wellbeing and </w:t>
            </w:r>
            <w:r w:rsidR="001864EE"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to find out if there is any support available for you. </w:t>
            </w:r>
          </w:p>
          <w:p w:rsidR="005E42F4" w:rsidRPr="00014DCB" w:rsidRDefault="005E42F4" w:rsidP="005E42F4">
            <w:pPr>
              <w:rPr>
                <w:b/>
                <w:color w:val="000000" w:themeColor="text1"/>
              </w:rPr>
            </w:pPr>
          </w:p>
          <w:p w:rsidR="0044368B" w:rsidRPr="00014DCB" w:rsidRDefault="005E42F4" w:rsidP="005E42F4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Further details on the </w:t>
            </w:r>
            <w:r w:rsidR="001864EE">
              <w:rPr>
                <w:b/>
                <w:color w:val="000000" w:themeColor="text1"/>
              </w:rPr>
              <w:t xml:space="preserve">Wellbeing and </w:t>
            </w:r>
            <w:r w:rsidRPr="00014DCB">
              <w:rPr>
                <w:b/>
                <w:color w:val="000000" w:themeColor="text1"/>
              </w:rPr>
              <w:t xml:space="preserve">Disability </w:t>
            </w:r>
            <w:r w:rsidR="001864EE">
              <w:rPr>
                <w:b/>
                <w:color w:val="000000" w:themeColor="text1"/>
              </w:rPr>
              <w:t>Service</w:t>
            </w:r>
            <w:r w:rsidRPr="00014DCB">
              <w:rPr>
                <w:b/>
                <w:color w:val="000000" w:themeColor="text1"/>
              </w:rPr>
              <w:t xml:space="preserve"> can be found by visiting: </w:t>
            </w:r>
            <w:hyperlink r:id="rId11" w:history="1">
              <w:r w:rsidRPr="00014DCB">
                <w:rPr>
                  <w:rStyle w:val="Hyperlink"/>
                  <w:b/>
                  <w:color w:val="000000" w:themeColor="text1"/>
                </w:rPr>
                <w:t>http://dds.southwales.ac.uk/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or </w:t>
            </w:r>
            <w:hyperlink r:id="rId12" w:history="1">
              <w:r w:rsidR="001864EE" w:rsidRPr="00BE3186">
                <w:rPr>
                  <w:rStyle w:val="Hyperlink"/>
                  <w:b/>
                </w:rPr>
                <w:t>http://thewellbeingservice.southwales.ac.uk/</w:t>
              </w:r>
            </w:hyperlink>
            <w:r w:rsidR="001864EE">
              <w:rPr>
                <w:rStyle w:val="Hyperlink"/>
                <w:b/>
                <w:color w:val="000000" w:themeColor="text1"/>
              </w:rPr>
              <w:t xml:space="preserve"> </w:t>
            </w:r>
          </w:p>
          <w:p w:rsidR="00EA1615" w:rsidRPr="005F12A2" w:rsidRDefault="005E42F4" w:rsidP="005E42F4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 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713"/>
      </w:tblGrid>
      <w:tr w:rsidR="00EA1615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F646D5" w:rsidRDefault="005E42F4" w:rsidP="005E42F4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Have you received support from any of the following services:</w:t>
            </w:r>
          </w:p>
        </w:tc>
      </w:tr>
      <w:tr w:rsidR="00EA1615" w:rsidTr="005E42F4">
        <w:trPr>
          <w:trHeight w:val="560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A1615" w:rsidRPr="005E42F4" w:rsidRDefault="005E42F4" w:rsidP="00FA33C8">
            <w:pPr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Disability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5E42F4">
        <w:trPr>
          <w:trHeight w:val="554"/>
        </w:trPr>
        <w:tc>
          <w:tcPr>
            <w:tcW w:w="4663" w:type="dxa"/>
            <w:tcBorders>
              <w:left w:val="single" w:sz="12" w:space="0" w:color="auto"/>
            </w:tcBorders>
            <w:vAlign w:val="center"/>
          </w:tcPr>
          <w:p w:rsidR="00EA1615" w:rsidRPr="005E42F4" w:rsidRDefault="005E42F4" w:rsidP="00FA33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Wellbeing </w:t>
            </w:r>
            <w:r w:rsidR="001864EE">
              <w:rPr>
                <w:color w:val="000000" w:themeColor="text1"/>
              </w:rPr>
              <w:t>Service</w:t>
            </w:r>
          </w:p>
        </w:tc>
        <w:tc>
          <w:tcPr>
            <w:tcW w:w="4713" w:type="dxa"/>
            <w:tcBorders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B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A1615" w:rsidTr="0023523F">
        <w:trPr>
          <w:trHeight w:val="48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Pr="005E42F4" w:rsidRDefault="005E42F4" w:rsidP="005E4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Counselling Service</w:t>
            </w:r>
          </w:p>
        </w:tc>
        <w:tc>
          <w:tcPr>
            <w:tcW w:w="47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5E42F4" w:rsidP="00150CF6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Prefer not to say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23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6B4610" w:rsidRDefault="006B4610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Default="00851511" w:rsidP="000D398D">
            <w:pPr>
              <w:rPr>
                <w:color w:val="000000" w:themeColor="text1"/>
              </w:rPr>
            </w:pP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</w:p>
          <w:p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 xml:space="preserve">will constitute part of the full case file, which </w:t>
            </w:r>
            <w:proofErr w:type="gramStart"/>
            <w:r>
              <w:rPr>
                <w:b/>
                <w:bCs/>
              </w:rPr>
              <w:t>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proofErr w:type="gramEnd"/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851511" w:rsidRPr="007C51DC" w:rsidRDefault="007C51DC" w:rsidP="007C51DC">
            <w:pPr>
              <w:pStyle w:val="FootnoteText"/>
              <w:rPr>
                <w:i/>
                <w:color w:val="000000"/>
                <w:sz w:val="18"/>
                <w:szCs w:val="18"/>
              </w:rPr>
            </w:pPr>
            <w:r w:rsidRPr="007C51DC">
              <w:rPr>
                <w:i/>
                <w:color w:val="000000"/>
                <w:sz w:val="18"/>
                <w:szCs w:val="18"/>
              </w:rPr>
              <w:t xml:space="preserve">NB </w:t>
            </w:r>
            <w:r w:rsidRPr="007C51DC">
              <w:rPr>
                <w:i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7C51D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D29" w:rsidRDefault="00ED4D29" w:rsidP="005F17E2">
      <w:r>
        <w:separator/>
      </w:r>
    </w:p>
  </w:endnote>
  <w:endnote w:type="continuationSeparator" w:id="0">
    <w:p w:rsidR="00ED4D29" w:rsidRDefault="00ED4D29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D29" w:rsidRDefault="00ED4D29" w:rsidP="005F17E2">
      <w:r>
        <w:separator/>
      </w:r>
    </w:p>
  </w:footnote>
  <w:footnote w:type="continuationSeparator" w:id="0">
    <w:p w:rsidR="00ED4D29" w:rsidRDefault="00ED4D29" w:rsidP="005F17E2">
      <w:r>
        <w:continuationSeparator/>
      </w:r>
    </w:p>
  </w:footnote>
  <w:footnote w:id="1">
    <w:p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:rsidR="007657F7" w:rsidRDefault="007657F7" w:rsidP="007C51DC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3327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54842"/>
    <w:rsid w:val="00662E10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E755A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A66E7"/>
    <w:rsid w:val="00CB421B"/>
    <w:rsid w:val="00D16599"/>
    <w:rsid w:val="00D27B82"/>
    <w:rsid w:val="00D31A13"/>
    <w:rsid w:val="00D31BE0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50F31"/>
    <w:rsid w:val="00F646D5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8B82208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7B809D-58B0-4ECB-A7C5-DFF5482D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133</cp:revision>
  <cp:lastPrinted>2014-06-11T08:44:00Z</cp:lastPrinted>
  <dcterms:created xsi:type="dcterms:W3CDTF">2014-05-30T07:30:00Z</dcterms:created>
  <dcterms:modified xsi:type="dcterms:W3CDTF">2019-09-30T14:07:00Z</dcterms:modified>
</cp:coreProperties>
</file>