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E7" w:rsidRPr="00B64CB5" w:rsidRDefault="000F5589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bookmarkStart w:id="0" w:name="_GoBack"/>
      <w:bookmarkEnd w:id="0"/>
      <w:r w:rsidRPr="00B64CB5">
        <w:rPr>
          <w:rFonts w:ascii="Arial" w:hAnsi="Arial" w:cs="Arial"/>
          <w:b/>
          <w:lang w:val="cy-GB"/>
        </w:rPr>
        <w:t>UNIVERSITY OF SOUTH WALES</w:t>
      </w:r>
    </w:p>
    <w:p w:rsidR="000F5589" w:rsidRPr="00B64CB5" w:rsidRDefault="000F5589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PRIFYSGOL DE CYMRU</w:t>
      </w:r>
    </w:p>
    <w:p w:rsidR="000F5589" w:rsidRPr="00B64CB5" w:rsidRDefault="000F5589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</w:p>
    <w:p w:rsidR="000F5589" w:rsidRPr="00B64CB5" w:rsidRDefault="00B64CB5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UNED GWAITH ACHOS MYFYRWYR</w:t>
      </w:r>
    </w:p>
    <w:p w:rsidR="000F5589" w:rsidRPr="00B64CB5" w:rsidRDefault="000F5589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</w:p>
    <w:p w:rsidR="00225FB2" w:rsidRPr="00B64CB5" w:rsidRDefault="00D2634F" w:rsidP="000F5589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Arweiniad</w:t>
      </w:r>
      <w:r w:rsidR="00B64CB5">
        <w:rPr>
          <w:rFonts w:ascii="Arial" w:hAnsi="Arial" w:cs="Arial"/>
          <w:b/>
          <w:lang w:val="cy-GB"/>
        </w:rPr>
        <w:t xml:space="preserve"> ar Unioni Cam a Gwneud Iawn am Gŵynion</w:t>
      </w:r>
    </w:p>
    <w:p w:rsidR="006628E7" w:rsidRPr="00B64CB5" w:rsidRDefault="006628E7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b/>
          <w:lang w:val="cy-GB"/>
        </w:rPr>
      </w:pPr>
    </w:p>
    <w:p w:rsidR="006628E7" w:rsidRPr="00B64CB5" w:rsidRDefault="00B64CB5" w:rsidP="006E5BBA">
      <w:pPr>
        <w:pStyle w:val="ListParagraph"/>
        <w:numPr>
          <w:ilvl w:val="0"/>
          <w:numId w:val="8"/>
        </w:numPr>
        <w:spacing w:after="0" w:line="240" w:lineRule="auto"/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Cyflwyniad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</w:p>
    <w:p w:rsidR="007E132A" w:rsidRPr="00B64CB5" w:rsidRDefault="00B64CB5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ymdrin </w:t>
      </w:r>
      <w:r w:rsidR="007D5F38">
        <w:rPr>
          <w:rFonts w:ascii="Arial" w:hAnsi="Arial" w:cs="Arial"/>
          <w:lang w:val="cy-GB"/>
        </w:rPr>
        <w:t>â chwyn gan fyfyriwr y canfuwyd ei bod wedi ei hategu neu’i hategu’n rhannol, bydd y Brifysgol yn cynnig ffyrdd ymarferol o unioni cam lle bo modd, sy’n gwneud iawn am y mater sy’n destun cwyn, ac sydd, cyhyd ag y bo’n bosibl, yn sicrhau bod y myfyriwr yn dychwelyd i</w:t>
      </w:r>
      <w:r w:rsidR="005D06B2">
        <w:rPr>
          <w:rFonts w:ascii="Arial" w:hAnsi="Arial" w:cs="Arial"/>
          <w:lang w:val="cy-GB"/>
        </w:rPr>
        <w:t>’w sefyllfa</w:t>
      </w:r>
      <w:r w:rsidR="007D5F38">
        <w:rPr>
          <w:rFonts w:ascii="Arial" w:hAnsi="Arial" w:cs="Arial"/>
          <w:lang w:val="cy-GB"/>
        </w:rPr>
        <w:t xml:space="preserve"> academaidd neu fel arall, sef ble byddai’r myfyriwr wedi bod pe na bai’r mater wedi cael ei godi</w:t>
      </w:r>
      <w:r w:rsidR="000E005E" w:rsidRPr="00B64CB5">
        <w:rPr>
          <w:rFonts w:ascii="Arial" w:hAnsi="Arial" w:cs="Arial"/>
          <w:lang w:val="cy-GB"/>
        </w:rPr>
        <w:t xml:space="preserve">. 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7D5F38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 fydd ymchwiliad i gŵyn gan fyfyriwr yn syml yn penderfynu p’un a yw’r gŵyn yn cael ei hategu neu’i hategu’n rhannol, ond bydd yn ceisio argymell yr hyn y mae angen ei wneud i gywiro’r sefyllfa</w:t>
      </w:r>
      <w:r w:rsidR="004B1070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Dylai’r ystyriaeth hon a chynnig unioni cam ddigwydd cyn gynted ag y bo modd, naill ai yn y cam datrys yn gynnar neu’r cam ymchwiliad ffurfiol, ac ni ddylid gadael y mater i’w benderfynu yn y cam adolygu, pe bai myfyriwr yn penderfynu mynd â’i (h)achos i’r cam hwnnw</w:t>
      </w:r>
      <w:r w:rsidR="004B1070" w:rsidRPr="00B64CB5">
        <w:rPr>
          <w:rFonts w:ascii="Arial" w:hAnsi="Arial" w:cs="Arial"/>
          <w:lang w:val="cy-GB"/>
        </w:rPr>
        <w:t>.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A44364" w:rsidRPr="00B64CB5" w:rsidRDefault="007D5F38" w:rsidP="00A44364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ddogfen hon yn rhoi </w:t>
      </w:r>
      <w:r w:rsidR="00D2634F">
        <w:rPr>
          <w:rFonts w:ascii="Arial" w:hAnsi="Arial" w:cs="Arial"/>
          <w:lang w:val="cy-GB"/>
        </w:rPr>
        <w:t>arweiniad</w:t>
      </w:r>
      <w:r>
        <w:rPr>
          <w:rFonts w:ascii="Arial" w:hAnsi="Arial" w:cs="Arial"/>
          <w:lang w:val="cy-GB"/>
        </w:rPr>
        <w:t xml:space="preserve"> ar y math o ffyrdd o unioni cam a all fod yn briodol, a sut dylid penderfynu pa ffyrdd o unioni i’w cynnig</w:t>
      </w:r>
      <w:r w:rsidR="006628E7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Darllenwch y ddogfen hon ar y cyd â’r Weithdrefn ar gyfer Cymeradwyo Cynigion am Iawndal Ariannol</w:t>
      </w:r>
      <w:r w:rsidR="00A44364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gweler</w:t>
      </w:r>
      <w:r w:rsidR="00A44364" w:rsidRPr="00B64CB5">
        <w:rPr>
          <w:rFonts w:ascii="Arial" w:hAnsi="Arial" w:cs="Arial"/>
          <w:lang w:val="cy-GB"/>
        </w:rPr>
        <w:t xml:space="preserve"> A</w:t>
      </w:r>
      <w:r>
        <w:rPr>
          <w:rFonts w:ascii="Arial" w:hAnsi="Arial" w:cs="Arial"/>
          <w:lang w:val="cy-GB"/>
        </w:rPr>
        <w:t>todiad</w:t>
      </w:r>
      <w:r w:rsidR="00A44364" w:rsidRPr="00B64CB5">
        <w:rPr>
          <w:rFonts w:ascii="Arial" w:hAnsi="Arial" w:cs="Arial"/>
          <w:lang w:val="cy-GB"/>
        </w:rPr>
        <w:t xml:space="preserve"> 1).</w:t>
      </w:r>
    </w:p>
    <w:p w:rsidR="006628E7" w:rsidRPr="00B64CB5" w:rsidRDefault="006628E7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2.</w:t>
      </w:r>
      <w:r w:rsidRPr="00B64CB5">
        <w:rPr>
          <w:rFonts w:ascii="Arial" w:hAnsi="Arial" w:cs="Arial"/>
          <w:b/>
          <w:lang w:val="cy-GB"/>
        </w:rPr>
        <w:tab/>
      </w:r>
      <w:r w:rsidR="007D5F38">
        <w:rPr>
          <w:rFonts w:ascii="Arial" w:hAnsi="Arial" w:cs="Arial"/>
          <w:b/>
          <w:lang w:val="cy-GB"/>
        </w:rPr>
        <w:t>Cyfrifoldebau a Dyletswyddau Cyfreithiol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:rsidR="004B1070" w:rsidRPr="00B64CB5" w:rsidRDefault="007D5F38" w:rsidP="004B1070">
      <w:p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Cyfrifoldebau s</w:t>
      </w:r>
      <w:r w:rsidR="004B1070" w:rsidRPr="00B64CB5">
        <w:rPr>
          <w:rFonts w:ascii="Arial" w:hAnsi="Arial" w:cs="Arial"/>
          <w:b/>
          <w:i/>
          <w:lang w:val="cy-GB"/>
        </w:rPr>
        <w:t>tatu</w:t>
      </w:r>
      <w:r>
        <w:rPr>
          <w:rFonts w:ascii="Arial" w:hAnsi="Arial" w:cs="Arial"/>
          <w:b/>
          <w:i/>
          <w:lang w:val="cy-GB"/>
        </w:rPr>
        <w:t>dol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b/>
          <w:u w:val="single"/>
          <w:lang w:val="cy-GB"/>
        </w:rPr>
      </w:pPr>
    </w:p>
    <w:p w:rsidR="004B1070" w:rsidRPr="00B64CB5" w:rsidRDefault="007D5F38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Deddf Hawliau Defnyddwyr</w:t>
      </w:r>
      <w:r w:rsidR="00510DBB" w:rsidRPr="00B64CB5">
        <w:rPr>
          <w:rFonts w:ascii="Arial" w:hAnsi="Arial" w:cs="Arial"/>
          <w:lang w:val="cy-GB"/>
        </w:rPr>
        <w:t xml:space="preserve"> 2015: </w:t>
      </w:r>
      <w:hyperlink r:id="rId8" w:history="1">
        <w:r w:rsidR="00510DBB" w:rsidRPr="00B64CB5">
          <w:rPr>
            <w:rStyle w:val="Hyperlink"/>
            <w:rFonts w:ascii="Arial" w:hAnsi="Arial" w:cs="Arial"/>
            <w:lang w:val="cy-GB"/>
          </w:rPr>
          <w:t>http://www.legislation.gov.uk/ukpga/2015/15/contents/enacted</w:t>
        </w:r>
      </w:hyperlink>
      <w:r w:rsidR="00510DBB" w:rsidRPr="00B64CB5">
        <w:rPr>
          <w:rFonts w:ascii="Arial" w:hAnsi="Arial" w:cs="Arial"/>
          <w:lang w:val="cy-GB"/>
        </w:rPr>
        <w:t xml:space="preserve"> </w:t>
      </w:r>
    </w:p>
    <w:p w:rsidR="00510DBB" w:rsidRPr="00B64CB5" w:rsidRDefault="00510DBB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Deddf Addysg Uwch</w:t>
      </w:r>
      <w:r w:rsidR="004B1070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Cymru</w:t>
      </w:r>
      <w:r w:rsidR="004B1070" w:rsidRPr="00B64CB5">
        <w:rPr>
          <w:rFonts w:ascii="Arial" w:hAnsi="Arial" w:cs="Arial"/>
          <w:lang w:val="cy-GB"/>
        </w:rPr>
        <w:t xml:space="preserve">) 2015: </w:t>
      </w:r>
      <w:hyperlink r:id="rId9" w:history="1">
        <w:r w:rsidR="004B1070" w:rsidRPr="00B64CB5">
          <w:rPr>
            <w:rStyle w:val="Hyperlink"/>
            <w:rFonts w:ascii="Arial" w:hAnsi="Arial" w:cs="Arial"/>
            <w:lang w:val="cy-GB"/>
          </w:rPr>
          <w:t>http://www.legislation.gov.uk/anaw/2015/1/contents/enacted</w:t>
        </w:r>
      </w:hyperlink>
      <w:r w:rsidR="004B1070" w:rsidRPr="00B64CB5">
        <w:rPr>
          <w:rFonts w:ascii="Arial" w:hAnsi="Arial" w:cs="Arial"/>
          <w:lang w:val="cy-GB"/>
        </w:rPr>
        <w:t xml:space="preserve"> 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Cyfrifoldebau ar draws y se</w:t>
      </w:r>
      <w:r w:rsidR="004B1070" w:rsidRPr="00B64CB5">
        <w:rPr>
          <w:rFonts w:ascii="Arial" w:hAnsi="Arial" w:cs="Arial"/>
          <w:b/>
          <w:i/>
          <w:lang w:val="cy-GB"/>
        </w:rPr>
        <w:t>ctor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Cod Ansawdd y </w:t>
      </w:r>
      <w:r w:rsidR="004B1070" w:rsidRPr="00B64CB5">
        <w:rPr>
          <w:rFonts w:ascii="Arial" w:hAnsi="Arial" w:cs="Arial"/>
          <w:lang w:val="cy-GB"/>
        </w:rPr>
        <w:t xml:space="preserve">QAA: </w:t>
      </w:r>
      <w:hyperlink r:id="rId10" w:history="1">
        <w:r w:rsidR="004B1070" w:rsidRPr="00B64CB5">
          <w:rPr>
            <w:rStyle w:val="Hyperlink"/>
            <w:rFonts w:ascii="Arial" w:hAnsi="Arial" w:cs="Arial"/>
            <w:lang w:val="cy-GB"/>
          </w:rPr>
          <w:t>http://www.qaa.ac.uk/assuring-standards-and-quality/the-quality-code/quality-code-part-b</w:t>
        </w:r>
      </w:hyperlink>
      <w:r w:rsidR="004B1070" w:rsidRPr="00B64CB5">
        <w:rPr>
          <w:rFonts w:ascii="Arial" w:hAnsi="Arial" w:cs="Arial"/>
          <w:lang w:val="cy-GB"/>
        </w:rPr>
        <w:t xml:space="preserve"> 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Swyddfa’r Dyfarnwr Annibynnol ar gyfer Addysg Uwch</w:t>
      </w:r>
      <w:r w:rsidR="004B1070" w:rsidRPr="00B64CB5">
        <w:rPr>
          <w:rFonts w:ascii="Arial" w:hAnsi="Arial" w:cs="Arial"/>
          <w:lang w:val="cy-GB"/>
        </w:rPr>
        <w:t xml:space="preserve">: </w:t>
      </w:r>
      <w:hyperlink r:id="rId11" w:history="1">
        <w:r w:rsidR="004B1070" w:rsidRPr="00B64CB5">
          <w:rPr>
            <w:rStyle w:val="Hyperlink"/>
            <w:rFonts w:ascii="Arial" w:hAnsi="Arial" w:cs="Arial"/>
            <w:lang w:val="cy-GB"/>
          </w:rPr>
          <w:t>http://www.oiahe.org.uk/</w:t>
        </w:r>
      </w:hyperlink>
      <w:r w:rsidR="004B1070" w:rsidRPr="00B64CB5">
        <w:rPr>
          <w:rFonts w:ascii="Arial" w:hAnsi="Arial" w:cs="Arial"/>
          <w:lang w:val="cy-GB"/>
        </w:rPr>
        <w:t xml:space="preserve"> </w:t>
      </w:r>
    </w:p>
    <w:p w:rsidR="00510DBB" w:rsidRPr="00B64CB5" w:rsidRDefault="00510DBB" w:rsidP="00510DBB">
      <w:pPr>
        <w:spacing w:after="0" w:line="240" w:lineRule="auto"/>
        <w:rPr>
          <w:rFonts w:ascii="Arial" w:hAnsi="Arial" w:cs="Arial"/>
          <w:lang w:val="cy-GB"/>
        </w:rPr>
      </w:pPr>
    </w:p>
    <w:p w:rsidR="00510DBB" w:rsidRPr="00B64CB5" w:rsidRDefault="00D2634F" w:rsidP="00510DBB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Canllawiau’r Awdurdod Cystadleuaeth a Marchnadoedd</w:t>
      </w:r>
      <w:r w:rsidR="00510DBB" w:rsidRPr="00B64CB5">
        <w:rPr>
          <w:rFonts w:ascii="Arial" w:hAnsi="Arial" w:cs="Arial"/>
          <w:lang w:val="cy-GB"/>
        </w:rPr>
        <w:t xml:space="preserve">: </w:t>
      </w:r>
      <w:hyperlink r:id="rId12" w:history="1">
        <w:r w:rsidR="00510DBB" w:rsidRPr="00B64CB5">
          <w:rPr>
            <w:rStyle w:val="Hyperlink"/>
            <w:rFonts w:ascii="Arial" w:hAnsi="Arial" w:cs="Arial"/>
            <w:lang w:val="cy-GB"/>
          </w:rPr>
          <w:t>https://assets.publishing.service.gov.uk/government/uploads/system/uploads/attachment_data/file/428549/HE_providers_-_advice_on_consumer_protection_law.pdf</w:t>
        </w:r>
      </w:hyperlink>
      <w:r w:rsidR="00510DBB" w:rsidRPr="00B64CB5">
        <w:rPr>
          <w:rFonts w:ascii="Arial" w:hAnsi="Arial" w:cs="Arial"/>
          <w:lang w:val="cy-GB"/>
        </w:rPr>
        <w:t xml:space="preserve"> 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Cyfrifoldebau sefydliadol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b/>
          <w:i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Cwynion Myfyrwyr</w:t>
      </w:r>
      <w:r w:rsidR="004B1070" w:rsidRPr="00B64CB5">
        <w:rPr>
          <w:rFonts w:ascii="Arial" w:hAnsi="Arial" w:cs="Arial"/>
          <w:lang w:val="cy-GB"/>
        </w:rPr>
        <w:t xml:space="preserve">: </w:t>
      </w:r>
      <w:hyperlink r:id="rId13" w:history="1">
        <w:r w:rsidR="004B1070" w:rsidRPr="00B64CB5">
          <w:rPr>
            <w:rStyle w:val="Hyperlink"/>
            <w:rFonts w:ascii="Arial" w:hAnsi="Arial" w:cs="Arial"/>
            <w:lang w:val="cy-GB"/>
          </w:rPr>
          <w:t>http://uso.southwales.ac.uk/StudentCasework/SCP/</w:t>
        </w:r>
      </w:hyperlink>
      <w:r w:rsidR="004B1070" w:rsidRPr="00B64CB5">
        <w:rPr>
          <w:rFonts w:ascii="Arial" w:hAnsi="Arial" w:cs="Arial"/>
          <w:lang w:val="cy-GB"/>
        </w:rPr>
        <w:t xml:space="preserve"> 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Cyngor ac arweiniad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b/>
          <w:lang w:val="cy-GB"/>
        </w:rPr>
      </w:pPr>
    </w:p>
    <w:p w:rsidR="004B1070" w:rsidRPr="00B64CB5" w:rsidRDefault="00D2634F" w:rsidP="004B1070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Gellir ceisio cyngor ac arweiniad ar ffyrdd o unioni cam a gwneud iawn gan</w:t>
      </w:r>
      <w:r w:rsidR="004B1070" w:rsidRPr="00B64CB5">
        <w:rPr>
          <w:rFonts w:ascii="Arial" w:hAnsi="Arial" w:cs="Arial"/>
          <w:lang w:val="cy-GB"/>
        </w:rPr>
        <w:t>:</w:t>
      </w: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4B1070" w:rsidP="004B1070">
      <w:pPr>
        <w:spacing w:after="0" w:line="240" w:lineRule="auto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 xml:space="preserve">Siobhan Coakley, </w:t>
      </w:r>
      <w:r w:rsidR="00D2634F">
        <w:rPr>
          <w:rFonts w:ascii="Arial" w:hAnsi="Arial" w:cs="Arial"/>
          <w:lang w:val="cy-GB"/>
        </w:rPr>
        <w:t>Cofrestrydd Cysylltiol</w:t>
      </w:r>
      <w:r w:rsidR="00035BF6" w:rsidRPr="00B64CB5">
        <w:rPr>
          <w:rFonts w:ascii="Arial" w:hAnsi="Arial" w:cs="Arial"/>
          <w:lang w:val="cy-GB"/>
        </w:rPr>
        <w:t xml:space="preserve">: </w:t>
      </w:r>
      <w:r w:rsidR="00D2634F">
        <w:rPr>
          <w:rFonts w:ascii="Arial" w:hAnsi="Arial" w:cs="Arial"/>
          <w:lang w:val="cy-GB"/>
        </w:rPr>
        <w:t>Gwaith Achos Myfyrwyr – Es</w:t>
      </w:r>
      <w:r w:rsidR="00035BF6" w:rsidRPr="00B64CB5">
        <w:rPr>
          <w:rFonts w:ascii="Arial" w:hAnsi="Arial" w:cs="Arial"/>
          <w:lang w:val="cy-GB"/>
        </w:rPr>
        <w:t>t: 82448</w:t>
      </w:r>
      <w:r w:rsidRPr="00B64CB5">
        <w:rPr>
          <w:rFonts w:ascii="Arial" w:hAnsi="Arial" w:cs="Arial"/>
          <w:lang w:val="cy-GB"/>
        </w:rPr>
        <w:t xml:space="preserve">; </w:t>
      </w:r>
      <w:hyperlink r:id="rId14" w:history="1">
        <w:r w:rsidRPr="00B64CB5">
          <w:rPr>
            <w:rStyle w:val="Hyperlink"/>
            <w:rFonts w:ascii="Arial" w:hAnsi="Arial" w:cs="Arial"/>
            <w:lang w:val="cy-GB"/>
          </w:rPr>
          <w:t>siobhan.coakley@southwales.ac.uk</w:t>
        </w:r>
      </w:hyperlink>
      <w:r w:rsidRPr="00B64CB5">
        <w:rPr>
          <w:rFonts w:ascii="Arial" w:hAnsi="Arial" w:cs="Arial"/>
          <w:lang w:val="cy-GB"/>
        </w:rPr>
        <w:t xml:space="preserve"> </w:t>
      </w:r>
    </w:p>
    <w:p w:rsidR="004B1070" w:rsidRPr="00B64CB5" w:rsidRDefault="00035BF6" w:rsidP="00510DBB">
      <w:pPr>
        <w:spacing w:after="0" w:line="240" w:lineRule="auto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>Gwen Jones</w:t>
      </w:r>
      <w:r w:rsidR="004B1070" w:rsidRPr="00B64CB5">
        <w:rPr>
          <w:rFonts w:ascii="Arial" w:hAnsi="Arial" w:cs="Arial"/>
          <w:lang w:val="cy-GB"/>
        </w:rPr>
        <w:t xml:space="preserve">, </w:t>
      </w:r>
      <w:r w:rsidR="00D2634F">
        <w:rPr>
          <w:rFonts w:ascii="Arial" w:hAnsi="Arial" w:cs="Arial"/>
          <w:lang w:val="cy-GB"/>
        </w:rPr>
        <w:t>Uwch Swyddog y Gofrestrfa – Es</w:t>
      </w:r>
      <w:r w:rsidRPr="00B64CB5">
        <w:rPr>
          <w:rFonts w:ascii="Arial" w:hAnsi="Arial" w:cs="Arial"/>
          <w:lang w:val="cy-GB"/>
        </w:rPr>
        <w:t>t: 54225</w:t>
      </w:r>
      <w:r w:rsidR="004B1070" w:rsidRPr="00B64CB5">
        <w:rPr>
          <w:rFonts w:ascii="Arial" w:hAnsi="Arial" w:cs="Arial"/>
          <w:lang w:val="cy-GB"/>
        </w:rPr>
        <w:t xml:space="preserve">; </w:t>
      </w:r>
      <w:hyperlink r:id="rId15" w:history="1">
        <w:r w:rsidR="004B1070" w:rsidRPr="00B64CB5">
          <w:rPr>
            <w:rStyle w:val="Hyperlink"/>
            <w:rFonts w:ascii="Arial" w:hAnsi="Arial" w:cs="Arial"/>
            <w:lang w:val="cy-GB"/>
          </w:rPr>
          <w:t>samantha.haines@southwales.ac.uk</w:t>
        </w:r>
      </w:hyperlink>
      <w:r w:rsidR="004B1070" w:rsidRPr="00B64CB5">
        <w:rPr>
          <w:rFonts w:ascii="Arial" w:hAnsi="Arial" w:cs="Arial"/>
          <w:lang w:val="cy-GB"/>
        </w:rPr>
        <w:t xml:space="preserve"> </w:t>
      </w:r>
    </w:p>
    <w:p w:rsidR="00510DBB" w:rsidRPr="00B64CB5" w:rsidRDefault="00510DBB" w:rsidP="00510DBB">
      <w:pPr>
        <w:spacing w:after="0"/>
        <w:rPr>
          <w:rFonts w:ascii="Arial" w:hAnsi="Arial" w:cs="Arial"/>
          <w:b/>
          <w:lang w:val="cy-GB"/>
        </w:rPr>
      </w:pPr>
    </w:p>
    <w:p w:rsidR="006628E7" w:rsidRPr="00B64CB5" w:rsidRDefault="00A44364" w:rsidP="00510DBB">
      <w:pPr>
        <w:spacing w:after="0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3</w:t>
      </w:r>
      <w:r w:rsidR="006E5BBA" w:rsidRPr="00B64CB5">
        <w:rPr>
          <w:rFonts w:ascii="Arial" w:hAnsi="Arial" w:cs="Arial"/>
          <w:b/>
          <w:lang w:val="cy-GB"/>
        </w:rPr>
        <w:t>.</w:t>
      </w:r>
      <w:r w:rsidR="006E5BBA" w:rsidRPr="00B64CB5">
        <w:rPr>
          <w:rFonts w:ascii="Arial" w:hAnsi="Arial" w:cs="Arial"/>
          <w:b/>
          <w:lang w:val="cy-GB"/>
        </w:rPr>
        <w:tab/>
      </w:r>
      <w:r w:rsidR="007C7A75">
        <w:rPr>
          <w:rFonts w:ascii="Arial" w:hAnsi="Arial" w:cs="Arial"/>
          <w:b/>
          <w:lang w:val="cy-GB"/>
        </w:rPr>
        <w:t xml:space="preserve">Ffyrdd sydd ar gael o Unioni Cam </w:t>
      </w:r>
    </w:p>
    <w:p w:rsidR="00510DBB" w:rsidRPr="00B64CB5" w:rsidRDefault="00510DBB" w:rsidP="00510DBB">
      <w:pPr>
        <w:spacing w:after="0"/>
        <w:rPr>
          <w:rFonts w:ascii="Arial" w:hAnsi="Arial" w:cs="Arial"/>
          <w:b/>
          <w:lang w:val="cy-GB"/>
        </w:rPr>
      </w:pPr>
    </w:p>
    <w:p w:rsidR="00044A25" w:rsidRPr="00B64CB5" w:rsidRDefault="005D06B2" w:rsidP="00510DBB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Caiff ffyrdd o unioni cam yn ariannol dim ond eu hystyried pan fydd tystiolaeth o niwed ariannol </w:t>
      </w:r>
      <w:r w:rsidR="001A2424">
        <w:rPr>
          <w:rFonts w:ascii="Arial" w:hAnsi="Arial" w:cs="Arial"/>
          <w:lang w:val="cy-GB"/>
        </w:rPr>
        <w:t>sylweddol</w:t>
      </w:r>
      <w:r>
        <w:rPr>
          <w:rFonts w:ascii="Arial" w:hAnsi="Arial" w:cs="Arial"/>
          <w:lang w:val="cy-GB"/>
        </w:rPr>
        <w:t xml:space="preserve"> neu pan na fydd ffyrdd eraill o unioni cam ar gael neu yr ystyrir </w:t>
      </w:r>
      <w:r w:rsidR="00EC4F71">
        <w:rPr>
          <w:rFonts w:ascii="Arial" w:hAnsi="Arial" w:cs="Arial"/>
          <w:lang w:val="cy-GB"/>
        </w:rPr>
        <w:t>nad ydynt</w:t>
      </w:r>
      <w:r>
        <w:rPr>
          <w:rFonts w:ascii="Arial" w:hAnsi="Arial" w:cs="Arial"/>
          <w:lang w:val="cy-GB"/>
        </w:rPr>
        <w:t xml:space="preserve"> yn gwneud iawn i’r myfyriwr yn ddigonol</w:t>
      </w:r>
      <w:r w:rsidR="001A242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am nad oes modd i’r myfyriwr ddychwelyd i’w sefyllfa flaenorol cyn y mater sy’n destun cwyn</w:t>
      </w:r>
      <w:r w:rsidR="007E132A" w:rsidRPr="00B64CB5">
        <w:rPr>
          <w:rFonts w:ascii="Arial" w:hAnsi="Arial" w:cs="Arial"/>
          <w:lang w:val="cy-GB"/>
        </w:rPr>
        <w:t>.</w:t>
      </w:r>
    </w:p>
    <w:p w:rsidR="009969CD" w:rsidRPr="00B64CB5" w:rsidRDefault="009969CD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6628E7" w:rsidRPr="00B64CB5" w:rsidRDefault="005D06B2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enghreifftiau o ffyrdd eraill o unioni cam yn ariannol yn cynnwys</w:t>
      </w:r>
      <w:r w:rsidR="006628E7" w:rsidRPr="00B64CB5">
        <w:rPr>
          <w:rFonts w:ascii="Arial" w:hAnsi="Arial" w:cs="Arial"/>
          <w:lang w:val="cy-GB"/>
        </w:rPr>
        <w:t>:</w:t>
      </w:r>
    </w:p>
    <w:p w:rsidR="006E5BBA" w:rsidRPr="00B64CB5" w:rsidRDefault="006E5BB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6E5BBA" w:rsidRPr="00B64CB5" w:rsidRDefault="005D06B2" w:rsidP="006E5B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ymddiheuro i’r myfyriwr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caniatáu i fyfyriwr astudio modiwl neu fodiwlau eto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newid </w:t>
      </w:r>
      <w:r w:rsidR="006628E7" w:rsidRPr="00B64CB5">
        <w:rPr>
          <w:rFonts w:ascii="Arial" w:hAnsi="Arial" w:cs="Arial"/>
          <w:lang w:val="cy-GB"/>
        </w:rPr>
        <w:t>poli</w:t>
      </w:r>
      <w:r>
        <w:rPr>
          <w:rFonts w:ascii="Arial" w:hAnsi="Arial" w:cs="Arial"/>
          <w:lang w:val="cy-GB"/>
        </w:rPr>
        <w:t>si neu broses</w:t>
      </w:r>
      <w:r w:rsidR="006628E7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 xml:space="preserve">i fodloni myfyriwr ‘na fydd hyn yn digwydd i fyfyriwr arall eto’, sy’n aml yn ganlyniad </w:t>
      </w:r>
      <w:r w:rsidR="00EC4F71">
        <w:rPr>
          <w:rFonts w:ascii="Arial" w:hAnsi="Arial" w:cs="Arial"/>
          <w:lang w:val="cy-GB"/>
        </w:rPr>
        <w:t>dymunol</w:t>
      </w:r>
      <w:r w:rsidR="006628E7" w:rsidRPr="00B64CB5">
        <w:rPr>
          <w:rFonts w:ascii="Arial" w:hAnsi="Arial" w:cs="Arial"/>
          <w:lang w:val="cy-GB"/>
        </w:rPr>
        <w:t>)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cynnig darpariaeth arbennig</w:t>
      </w:r>
      <w:r w:rsidR="005038B3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er enghraifft lleoliad addysgu arall, neu gyfle arall i fynd ar daith maes</w:t>
      </w:r>
      <w:r w:rsidR="006628E7" w:rsidRPr="00B64CB5">
        <w:rPr>
          <w:rFonts w:ascii="Arial" w:hAnsi="Arial" w:cs="Arial"/>
          <w:lang w:val="cy-GB"/>
        </w:rPr>
        <w:t>)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cynnig gwasanaeth amgen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newid y ffordd y caiff gwasanaeth ei ddarparu</w:t>
      </w:r>
    </w:p>
    <w:p w:rsidR="006628E7" w:rsidRPr="00B64CB5" w:rsidRDefault="005D06B2" w:rsidP="000F55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sicrhau bod sefyllfa sydd wedi effeithio ar </w:t>
      </w:r>
      <w:r w:rsidR="00671FCD">
        <w:rPr>
          <w:rFonts w:ascii="Arial" w:hAnsi="Arial" w:cs="Arial"/>
          <w:lang w:val="cy-GB"/>
        </w:rPr>
        <w:t>sefyllfa academaidd myfyriwr yn cael ei hystyried trwy’r pwyllgorau/paneli/byrddau</w:t>
      </w:r>
      <w:r w:rsidR="00C80E1A" w:rsidRPr="00B64CB5">
        <w:rPr>
          <w:rFonts w:ascii="Arial" w:hAnsi="Arial" w:cs="Arial"/>
          <w:lang w:val="cy-GB"/>
        </w:rPr>
        <w:t>.</w:t>
      </w:r>
    </w:p>
    <w:p w:rsidR="009969CD" w:rsidRPr="00B64CB5" w:rsidRDefault="009969CD" w:rsidP="009969CD">
      <w:pPr>
        <w:pStyle w:val="ListParagraph"/>
        <w:spacing w:after="0" w:line="240" w:lineRule="auto"/>
        <w:ind w:left="750"/>
        <w:rPr>
          <w:rFonts w:ascii="Arial" w:hAnsi="Arial" w:cs="Arial"/>
          <w:lang w:val="cy-GB"/>
        </w:rPr>
      </w:pPr>
    </w:p>
    <w:p w:rsidR="005038B3" w:rsidRPr="00B64CB5" w:rsidRDefault="00671FCD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 mhob achos, dylai’r nod fod fel yr uchod</w:t>
      </w:r>
      <w:r w:rsidR="005038B3" w:rsidRPr="00B64CB5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cyhyd ag y bo modd, dychwelyd y myfyriwr i sefyllfa sy’n debyg i’r sefyllfa y byddai wedi bod ynddi pe na bai’r mater a ategwyd fel cwyn wedi digwydd</w:t>
      </w:r>
      <w:r w:rsidR="005038B3" w:rsidRPr="00B64CB5">
        <w:rPr>
          <w:rFonts w:ascii="Arial" w:hAnsi="Arial" w:cs="Arial"/>
          <w:lang w:val="cy-GB"/>
        </w:rPr>
        <w:t xml:space="preserve">. </w:t>
      </w:r>
    </w:p>
    <w:p w:rsidR="006628E7" w:rsidRPr="00B64CB5" w:rsidRDefault="006628E7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6628E7" w:rsidRPr="00B64CB5" w:rsidRDefault="00A44364" w:rsidP="000F5589">
      <w:pPr>
        <w:spacing w:after="0" w:line="240" w:lineRule="auto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4</w:t>
      </w:r>
      <w:r w:rsidR="006E5BBA" w:rsidRPr="00B64CB5">
        <w:rPr>
          <w:rFonts w:ascii="Arial" w:hAnsi="Arial" w:cs="Arial"/>
          <w:b/>
          <w:lang w:val="cy-GB"/>
        </w:rPr>
        <w:t>.</w:t>
      </w:r>
      <w:r w:rsidR="006E5BBA" w:rsidRPr="00B64CB5">
        <w:rPr>
          <w:rFonts w:ascii="Arial" w:hAnsi="Arial" w:cs="Arial"/>
          <w:b/>
          <w:lang w:val="cy-GB"/>
        </w:rPr>
        <w:tab/>
      </w:r>
      <w:r w:rsidR="00671FCD">
        <w:rPr>
          <w:rFonts w:ascii="Arial" w:hAnsi="Arial" w:cs="Arial"/>
          <w:b/>
          <w:lang w:val="cy-GB"/>
        </w:rPr>
        <w:t>Penderfynu ar Ffyrdd o Unioni Cam yn Ariannol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b/>
          <w:lang w:val="cy-GB"/>
        </w:rPr>
      </w:pPr>
    </w:p>
    <w:p w:rsidR="00044A25" w:rsidRPr="00B64CB5" w:rsidRDefault="00A664C9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Lle’r Brifysgol yw gwneud penderfyniad am unrhyw ffordd o unioni cam yn ariannol, ar sail yr hyn sy’n briodol, yn gymesur ac yn rhesymol, ym marn y Brifysgol, o ystyried canfyddiadau’r ymchwiliad i’r gŵyn neu’r adolygiad o’r gŵyn. Wrth lunio barn, bydd y Brifysgol yn ystyried pedwar maen prawf, sef</w:t>
      </w:r>
      <w:r w:rsidR="00225FB2" w:rsidRPr="00B64CB5">
        <w:rPr>
          <w:rFonts w:ascii="Arial" w:hAnsi="Arial" w:cs="Arial"/>
          <w:lang w:val="cy-GB"/>
        </w:rPr>
        <w:t>:</w:t>
      </w:r>
    </w:p>
    <w:p w:rsidR="006E5BBA" w:rsidRPr="00B64CB5" w:rsidRDefault="006E5BB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6628E7" w:rsidRPr="00B64CB5" w:rsidRDefault="001A2424" w:rsidP="006E5BB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colled sylweddol uniongyrchol</w:t>
      </w:r>
    </w:p>
    <w:p w:rsidR="006628E7" w:rsidRPr="00B64CB5" w:rsidRDefault="00A664C9" w:rsidP="006E5BB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colli cyfle</w:t>
      </w:r>
    </w:p>
    <w:p w:rsidR="006628E7" w:rsidRPr="00B64CB5" w:rsidRDefault="00A664C9" w:rsidP="006E5BB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gofid ac anghyfleustra</w:t>
      </w:r>
    </w:p>
    <w:p w:rsidR="00225FB2" w:rsidRPr="00A664C9" w:rsidRDefault="00A664C9" w:rsidP="00A664C9">
      <w:pPr>
        <w:spacing w:after="0" w:line="240" w:lineRule="auto"/>
        <w:ind w:left="3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ch) hanes </w:t>
      </w:r>
      <w:r w:rsidR="002B58F8">
        <w:rPr>
          <w:rFonts w:ascii="Arial" w:hAnsi="Arial" w:cs="Arial"/>
          <w:lang w:val="cy-GB"/>
        </w:rPr>
        <w:t>achos</w:t>
      </w:r>
      <w:r w:rsidR="00EC4F71">
        <w:rPr>
          <w:rFonts w:ascii="Arial" w:hAnsi="Arial" w:cs="Arial"/>
          <w:lang w:val="cy-GB"/>
        </w:rPr>
        <w:t>ion</w:t>
      </w:r>
      <w:r w:rsidR="002B58F8">
        <w:rPr>
          <w:rFonts w:ascii="Arial" w:hAnsi="Arial" w:cs="Arial"/>
          <w:lang w:val="cy-GB"/>
        </w:rPr>
        <w:t xml:space="preserve"> a dyfarniadau tebyg eraill</w:t>
      </w:r>
      <w:r w:rsidR="000600A0" w:rsidRPr="00A664C9">
        <w:rPr>
          <w:rFonts w:ascii="Arial" w:hAnsi="Arial" w:cs="Arial"/>
          <w:lang w:val="cy-GB"/>
        </w:rPr>
        <w:t>.</w:t>
      </w:r>
    </w:p>
    <w:p w:rsidR="00C80E1A" w:rsidRPr="00B64CB5" w:rsidRDefault="00C80E1A" w:rsidP="00C80E1A">
      <w:pPr>
        <w:pStyle w:val="ListParagraph"/>
        <w:spacing w:after="0" w:line="240" w:lineRule="auto"/>
        <w:rPr>
          <w:rFonts w:ascii="Arial" w:hAnsi="Arial" w:cs="Arial"/>
          <w:lang w:val="cy-GB"/>
        </w:rPr>
      </w:pPr>
    </w:p>
    <w:p w:rsidR="005038B3" w:rsidRPr="00B64CB5" w:rsidRDefault="002B58F8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Ym mhob un o’r rhain, bydd y Brifysgol yn ystyried canfyddiadau’r ymchwiliad i’r gŵyn, neu’r adolygiad o’r gŵyn, argymhellion y gyfadran </w:t>
      </w:r>
      <w:r w:rsidR="00F23B99" w:rsidRPr="00B64CB5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yn y cam datrys yn gynnar</w:t>
      </w:r>
      <w:r w:rsidR="00F23B99" w:rsidRPr="00B64CB5">
        <w:rPr>
          <w:rFonts w:ascii="Arial" w:hAnsi="Arial" w:cs="Arial"/>
          <w:lang w:val="cy-GB"/>
        </w:rPr>
        <w:t>)/</w:t>
      </w:r>
      <w:r>
        <w:rPr>
          <w:rFonts w:ascii="Arial" w:hAnsi="Arial" w:cs="Arial"/>
          <w:lang w:val="cy-GB"/>
        </w:rPr>
        <w:t>swyddog ymchwilio</w:t>
      </w:r>
      <w:r w:rsidR="00F23B99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yn y cam ffurfiol</w:t>
      </w:r>
      <w:r w:rsidR="00F23B99" w:rsidRPr="00B64CB5">
        <w:rPr>
          <w:rFonts w:ascii="Arial" w:hAnsi="Arial" w:cs="Arial"/>
          <w:lang w:val="cy-GB"/>
        </w:rPr>
        <w:t>)/</w:t>
      </w:r>
      <w:r>
        <w:rPr>
          <w:rFonts w:ascii="Arial" w:hAnsi="Arial" w:cs="Arial"/>
          <w:lang w:val="cy-GB"/>
        </w:rPr>
        <w:t>swyddog adolygu cwynion</w:t>
      </w:r>
      <w:r w:rsidR="00F23B99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yn y cam adolygu</w:t>
      </w:r>
      <w:r w:rsidR="00F23B99" w:rsidRPr="00B64CB5">
        <w:rPr>
          <w:rFonts w:ascii="Arial" w:hAnsi="Arial" w:cs="Arial"/>
          <w:lang w:val="cy-GB"/>
        </w:rPr>
        <w:t xml:space="preserve">) </w:t>
      </w:r>
      <w:r w:rsidR="005038B3" w:rsidRPr="00B64CB5">
        <w:rPr>
          <w:rFonts w:ascii="Arial" w:hAnsi="Arial" w:cs="Arial"/>
          <w:lang w:val="cy-GB"/>
        </w:rPr>
        <w:t>a</w:t>
      </w:r>
      <w:r>
        <w:rPr>
          <w:rFonts w:ascii="Arial" w:hAnsi="Arial" w:cs="Arial"/>
          <w:lang w:val="cy-GB"/>
        </w:rPr>
        <w:t>’r dystiolaeth ger ei bron</w:t>
      </w:r>
      <w:r w:rsidR="005038B3" w:rsidRPr="00B64CB5">
        <w:rPr>
          <w:rFonts w:ascii="Arial" w:hAnsi="Arial" w:cs="Arial"/>
          <w:lang w:val="cy-GB"/>
        </w:rPr>
        <w:t>.</w:t>
      </w:r>
      <w:r w:rsidR="00225FB2" w:rsidRPr="00B64CB5">
        <w:rPr>
          <w:rFonts w:ascii="Arial" w:hAnsi="Arial" w:cs="Arial"/>
          <w:lang w:val="cy-GB"/>
        </w:rPr>
        <w:t xml:space="preserve"> </w:t>
      </w:r>
    </w:p>
    <w:p w:rsidR="00C80E1A" w:rsidRPr="00B64CB5" w:rsidRDefault="00C80E1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225FB2" w:rsidRPr="00B64CB5" w:rsidRDefault="002B58F8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hefyd yn archwilio camau gweithredu a gymerwyd neu na chymerwyd naill ai gan y myfyriwr neu’r Brifysgol i gymryd camau rhesymol er mwyn lleihau neu liniaru effaith y materion a ategwyd yn y gŵyn, a bydd hyn yn cael ei ystyried yn y penderfyniad terfynol</w:t>
      </w:r>
      <w:r w:rsidR="005038B3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044A25" w:rsidRPr="00B64CB5" w:rsidRDefault="002B58F8" w:rsidP="006E5BB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 xml:space="preserve">Colled </w:t>
      </w:r>
      <w:r w:rsidR="00EC4F71">
        <w:rPr>
          <w:rFonts w:ascii="Arial" w:hAnsi="Arial" w:cs="Arial"/>
          <w:b/>
          <w:i/>
          <w:lang w:val="cy-GB"/>
        </w:rPr>
        <w:t xml:space="preserve">berthnasol </w:t>
      </w:r>
      <w:r>
        <w:rPr>
          <w:rFonts w:ascii="Arial" w:hAnsi="Arial" w:cs="Arial"/>
          <w:b/>
          <w:i/>
          <w:lang w:val="cy-GB"/>
        </w:rPr>
        <w:t>uniongyrchol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:rsidR="00044A25" w:rsidRPr="00B64CB5" w:rsidRDefault="00CE35AF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Brifysgol yn ei gwneud yn ofynnol i fyfyrwyr gyflwyno prawf dogfennol o golledion gwirioneddol a gafwyd, </w:t>
      </w:r>
      <w:r w:rsidR="004775D7">
        <w:rPr>
          <w:rFonts w:ascii="Arial" w:hAnsi="Arial" w:cs="Arial"/>
          <w:lang w:val="cy-GB"/>
        </w:rPr>
        <w:t>a bydd yn gwneud penderfyniad am</w:t>
      </w:r>
      <w:r>
        <w:rPr>
          <w:rFonts w:ascii="Arial" w:hAnsi="Arial" w:cs="Arial"/>
          <w:lang w:val="cy-GB"/>
        </w:rPr>
        <w:t xml:space="preserve"> unioni</w:t>
      </w:r>
      <w:r w:rsidR="004775D7">
        <w:rPr>
          <w:rFonts w:ascii="Arial" w:hAnsi="Arial" w:cs="Arial"/>
          <w:lang w:val="cy-GB"/>
        </w:rPr>
        <w:t xml:space="preserve"> cam</w:t>
      </w:r>
      <w:r>
        <w:rPr>
          <w:rFonts w:ascii="Arial" w:hAnsi="Arial" w:cs="Arial"/>
          <w:lang w:val="cy-GB"/>
        </w:rPr>
        <w:t xml:space="preserve">, </w:t>
      </w:r>
      <w:r w:rsidR="004775D7">
        <w:rPr>
          <w:rFonts w:ascii="Arial" w:hAnsi="Arial" w:cs="Arial"/>
          <w:lang w:val="cy-GB"/>
        </w:rPr>
        <w:t xml:space="preserve">yn ôl yr hyn sy’n </w:t>
      </w:r>
      <w:r w:rsidR="004775D7">
        <w:rPr>
          <w:rFonts w:ascii="Arial" w:hAnsi="Arial" w:cs="Arial"/>
          <w:lang w:val="cy-GB"/>
        </w:rPr>
        <w:lastRenderedPageBreak/>
        <w:t>debygol, yn seiliedig ar b’un a oedd y colledion hynny, yn e</w:t>
      </w:r>
      <w:r w:rsidR="00EC4F71">
        <w:rPr>
          <w:rFonts w:ascii="Arial" w:hAnsi="Arial" w:cs="Arial"/>
          <w:lang w:val="cy-GB"/>
        </w:rPr>
        <w:t>u</w:t>
      </w:r>
      <w:r w:rsidR="004775D7">
        <w:rPr>
          <w:rFonts w:ascii="Arial" w:hAnsi="Arial" w:cs="Arial"/>
          <w:lang w:val="cy-GB"/>
        </w:rPr>
        <w:t xml:space="preserve"> hanfod, o ganlyniad i weithredoedd y Brifysgol, yn unol â’r hyn a benderfynwyd wrth ymchwilio i’r gŵyn. </w:t>
      </w:r>
    </w:p>
    <w:p w:rsidR="00A44364" w:rsidRPr="00B64CB5" w:rsidRDefault="00A44364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225FB2" w:rsidRPr="00B64CB5" w:rsidRDefault="00CE35AF" w:rsidP="006E5BB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Colli cyfle/colled anuniongyrchol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:rsidR="003F7BF8" w:rsidRPr="00B64CB5" w:rsidRDefault="00CE35AF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disgwyl i fyfyrwyr nodi’n glir, gyda thystiolaeth, ble maent wedi dioddef yn sgil colli cyfle neu golled anuniongyrchol</w:t>
      </w:r>
      <w:r w:rsidR="00225FB2" w:rsidRPr="00B64CB5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Gall hyn olygu, er enghraifft, nad oeddent yn gallu manteisio ar y cyfle i fynd ar leoliad neu flwyddyn dramor, neu fod eu lleoliad proffesiynol yn ddiffygiol ac na roddodd gyfle iddynt ymarfer, gwella a magu hyder cyn dechrau swydd</w:t>
      </w:r>
      <w:r w:rsidR="00225FB2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3F7BF8" w:rsidRPr="00B64CB5" w:rsidRDefault="004775D7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cynnig y Brifysgol i fyfyrwyr wedi’i nodi mewn nifer o ddogfennau, sef</w:t>
      </w:r>
      <w:r w:rsidR="003F7BF8" w:rsidRPr="00B64CB5">
        <w:rPr>
          <w:rFonts w:ascii="Arial" w:hAnsi="Arial" w:cs="Arial"/>
          <w:lang w:val="cy-GB"/>
        </w:rPr>
        <w:t>: te</w:t>
      </w:r>
      <w:r>
        <w:rPr>
          <w:rFonts w:ascii="Arial" w:hAnsi="Arial" w:cs="Arial"/>
          <w:lang w:val="cy-GB"/>
        </w:rPr>
        <w:t>lerau ac amodau, manylebau cyrsiau, llawlyfrau cyrsiau, rheoliadau, ac ati</w:t>
      </w:r>
      <w:r w:rsidR="003F7BF8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Pan fydd myfyrwyr o’r farn fod cyflwyno cwyn yn golygu nad yw’r Brifysgol wedi darparu’r cynnig hwnnw, gallant nodi yn eu cwyn y gwasanaethau neu’r rhwymedigaethau hynny na chyflawnwyd, ac wrth ystyried colled, dylid ystyried pa mor ddifrifol yw’r achos o fethu darparu gwasanaeth, ac effaith debygol hynny ar fyfyriwr ar sail tystiolaeth gadarn lle mae ar gael, ac yn ôl yr hyn sy’n debygol</w:t>
      </w:r>
      <w:r w:rsidR="007E132A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3F7BF8" w:rsidRPr="00B64CB5" w:rsidRDefault="004775D7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Pan fydd honiad ynghylch effaith feddygol neu effaith debyg, rhaid darparu tystiolaeth addas o’r cyflwr ei hun a bod hynny mewn rhyw ffordd o ganlyniad i’r digwyddiadau sy’n destun y gŵyn, neu’n rhannol</w:t>
      </w:r>
      <w:r w:rsidR="003F7BF8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1D33E2" w:rsidRPr="00B64CB5" w:rsidRDefault="004775D7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Mae’n anodd iawn mesur sut gall mater effeithio ar raglen astudio ehangach myfyriwr</w:t>
      </w:r>
      <w:r w:rsidR="007E132A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  <w:r w:rsidR="00EC4F71">
        <w:rPr>
          <w:rFonts w:ascii="Arial" w:hAnsi="Arial" w:cs="Arial"/>
          <w:lang w:val="cy-GB"/>
        </w:rPr>
        <w:t>Yn rhan o’u h</w:t>
      </w:r>
      <w:r w:rsidR="002A3D27">
        <w:rPr>
          <w:rFonts w:ascii="Arial" w:hAnsi="Arial" w:cs="Arial"/>
          <w:lang w:val="cy-GB"/>
        </w:rPr>
        <w:t>ystyri</w:t>
      </w:r>
      <w:r w:rsidR="00EC4F71">
        <w:rPr>
          <w:rFonts w:ascii="Arial" w:hAnsi="Arial" w:cs="Arial"/>
          <w:lang w:val="cy-GB"/>
        </w:rPr>
        <w:t>a</w:t>
      </w:r>
      <w:r w:rsidR="002A3D27">
        <w:rPr>
          <w:rFonts w:ascii="Arial" w:hAnsi="Arial" w:cs="Arial"/>
          <w:lang w:val="cy-GB"/>
        </w:rPr>
        <w:t>e</w:t>
      </w:r>
      <w:r w:rsidR="00EC4F71">
        <w:rPr>
          <w:rFonts w:ascii="Arial" w:hAnsi="Arial" w:cs="Arial"/>
          <w:lang w:val="cy-GB"/>
        </w:rPr>
        <w:t>thau</w:t>
      </w:r>
      <w:r w:rsidR="002A3D27">
        <w:rPr>
          <w:rFonts w:ascii="Arial" w:hAnsi="Arial" w:cs="Arial"/>
          <w:lang w:val="cy-GB"/>
        </w:rPr>
        <w:t>, gall y Brifysgol edrych ar dystiolaeth fel perfformiad academaidd yn rhywle arall, neu sut a phryd y codwyd materion trwy adborth neu ffynonellau eraill, a gwneud penderfyniad yn ôl yr hyn sy’n debygol. Gall ofyn am asesiad gan ran berthnasol o’r Brifysgol ynglŷn â’r effaith academaidd debygol, yng nghyd-destun perfformiad cyffredinol y myfyriwr</w:t>
      </w:r>
      <w:r w:rsidR="005F1FDB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5F1FDB" w:rsidRPr="00B64CB5" w:rsidRDefault="002A3D27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ad-daliad yn ymwneud ag ad-dalu symiau a dalodd y myfyriwr i’r Brifysgol, neu ostyngiad priodol yn y symiau sy’n ddyledus yn y dyfodol, a gallai gynnwys ffioedd dysgu, costau cwrs eraill neu gostau llety</w:t>
      </w:r>
      <w:r w:rsidR="004B1070" w:rsidRPr="00B64CB5">
        <w:rPr>
          <w:rFonts w:ascii="Arial" w:hAnsi="Arial" w:cs="Arial"/>
          <w:lang w:val="cy-GB"/>
        </w:rPr>
        <w:t>.</w:t>
      </w:r>
      <w:r w:rsidR="00B352EB" w:rsidRPr="00B64CB5">
        <w:rPr>
          <w:rFonts w:ascii="Arial" w:hAnsi="Arial" w:cs="Arial"/>
          <w:lang w:val="cy-GB"/>
        </w:rPr>
        <w:t xml:space="preserve">  </w:t>
      </w:r>
      <w:r>
        <w:rPr>
          <w:rFonts w:ascii="Arial" w:hAnsi="Arial" w:cs="Arial"/>
          <w:lang w:val="cy-GB"/>
        </w:rPr>
        <w:t>Bydd ad-dalu ffioedd dysgu yn llawn neu’n rhannol dim ond yn cael ei ystyried lle byddai’r ymchwiliad yn darganfod methiannau difrifol mewn addysgu neu oruchwylio a fyddai’n effeithio’n sylweddol ar berfformiad myfyriwr, a lle nad oes modd cywiro’r sefyllfa trwy ddulliau eraill</w:t>
      </w:r>
      <w:r w:rsidR="001D33E2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5F1FDB" w:rsidRPr="00B64CB5" w:rsidRDefault="00E2067A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Dylai asesiad o’r categori hwn archwilio</w:t>
      </w:r>
      <w:r w:rsidR="005F1FDB" w:rsidRPr="00B64CB5">
        <w:rPr>
          <w:rFonts w:ascii="Arial" w:hAnsi="Arial" w:cs="Arial"/>
          <w:lang w:val="cy-GB"/>
        </w:rPr>
        <w:t>:</w:t>
      </w:r>
    </w:p>
    <w:p w:rsidR="006E5BBA" w:rsidRPr="00B64CB5" w:rsidRDefault="006E5BB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6628E7" w:rsidRPr="00B64CB5" w:rsidRDefault="00E2067A" w:rsidP="000F55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fath o golli cyfle sy’n cael ei honni, ac a fyddai yna wahaniaeth sylweddol wedi bod i hyn oni bai am y ffactorau a ategir yn y gŵyn</w:t>
      </w:r>
      <w:r w:rsidR="005F1FDB" w:rsidRPr="00B64CB5">
        <w:rPr>
          <w:rFonts w:ascii="Arial" w:hAnsi="Arial" w:cs="Arial"/>
          <w:lang w:val="cy-GB"/>
        </w:rPr>
        <w:t>?</w:t>
      </w:r>
    </w:p>
    <w:p w:rsidR="006628E7" w:rsidRPr="00B64CB5" w:rsidRDefault="00E2067A" w:rsidP="000F55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elfennau o’r gwasanaeth a nodwyd na chyflawnwyd gan y Brifysgol, pa mor ddifrifol oedd y methiannau neu’r hepgoriadau hyn yng nghyd-destun y maes sy’n destun cwyn, a rhaglen astudio gyffredinol y myfyriwr, a pha effaith sylweddol y gellir dangos tystiolaeth ohoni, neu’i thybio</w:t>
      </w:r>
      <w:r w:rsidR="005F1FDB" w:rsidRPr="00B64CB5">
        <w:rPr>
          <w:rFonts w:ascii="Arial" w:hAnsi="Arial" w:cs="Arial"/>
          <w:lang w:val="cy-GB"/>
        </w:rPr>
        <w:t>?</w:t>
      </w:r>
    </w:p>
    <w:p w:rsidR="00044A25" w:rsidRPr="00B64CB5" w:rsidRDefault="00E2067A" w:rsidP="000F55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Beth yw’r dystiolaeth o effaith bersonol</w:t>
      </w:r>
      <w:r w:rsidR="005F1FDB" w:rsidRPr="00B64CB5">
        <w:rPr>
          <w:rFonts w:ascii="Arial" w:hAnsi="Arial" w:cs="Arial"/>
          <w:lang w:val="cy-GB"/>
        </w:rPr>
        <w:t>?</w:t>
      </w:r>
      <w:r w:rsidR="00044A25" w:rsidRPr="00B64CB5">
        <w:rPr>
          <w:rFonts w:ascii="Arial" w:hAnsi="Arial" w:cs="Arial"/>
          <w:b/>
          <w:lang w:val="cy-GB"/>
        </w:rPr>
        <w:br/>
      </w:r>
    </w:p>
    <w:p w:rsidR="00044A25" w:rsidRPr="00B64CB5" w:rsidRDefault="00E2067A" w:rsidP="006E5BB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>Gofid ac anghyfleustra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:rsidR="00044A25" w:rsidRPr="00B64CB5" w:rsidRDefault="00E2067A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Gellir gwneud penderfyniad ynglŷn â ph’un a ddylid gwneud taliad am ofid ac anghyfleustra</w:t>
      </w:r>
      <w:r w:rsidR="001A242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yn ogystal â ffyrdd eraill o unioni cam yn ymarferol neu’n ariannol, neu yn eu lle, a bydd y penderfyniad hwn fel rheol dim ond yn cael ei wneud pan gaiff y gŵyn ei hategu ac y canfyddir ei bod wedi effeithio’n sylweddol</w:t>
      </w:r>
      <w:r w:rsidR="001A242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ar y myfyriwr, ac yn arbennig lle nodir methiannau difrifol</w:t>
      </w:r>
      <w:r w:rsidR="00044A25" w:rsidRPr="00B64CB5">
        <w:rPr>
          <w:rFonts w:ascii="Arial" w:hAnsi="Arial" w:cs="Arial"/>
          <w:lang w:val="cy-GB"/>
        </w:rPr>
        <w:t>.</w:t>
      </w:r>
      <w:r w:rsidR="00FA12E3">
        <w:rPr>
          <w:rFonts w:ascii="Arial" w:hAnsi="Arial" w:cs="Arial"/>
          <w:lang w:val="cy-GB"/>
        </w:rPr>
        <w:t xml:space="preserve"> Ystyrir ymddygiad y myfyriwr ei hun hefyd</w:t>
      </w:r>
      <w:r w:rsidR="00044A25" w:rsidRPr="00B64CB5">
        <w:rPr>
          <w:rFonts w:ascii="Arial" w:hAnsi="Arial" w:cs="Arial"/>
          <w:lang w:val="cy-GB"/>
        </w:rPr>
        <w:t xml:space="preserve">: </w:t>
      </w:r>
      <w:r w:rsidR="00FA12E3">
        <w:rPr>
          <w:rFonts w:ascii="Arial" w:hAnsi="Arial" w:cs="Arial"/>
          <w:lang w:val="cy-GB"/>
        </w:rPr>
        <w:t xml:space="preserve">er enghraifft pan gafodd oedi wrth ddatrys mater ei achosi’n rhannol gan y myfyriwr, neu p’un a yw’r myfyriwr wedi ymddwyn yn </w:t>
      </w:r>
      <w:r w:rsidR="00FA12E3">
        <w:rPr>
          <w:rFonts w:ascii="Arial" w:hAnsi="Arial" w:cs="Arial"/>
          <w:lang w:val="cy-GB"/>
        </w:rPr>
        <w:lastRenderedPageBreak/>
        <w:t>afresymol yn gwrthod</w:t>
      </w:r>
      <w:r w:rsidR="00EC4F71">
        <w:rPr>
          <w:rFonts w:ascii="Arial" w:hAnsi="Arial" w:cs="Arial"/>
          <w:lang w:val="cy-GB"/>
        </w:rPr>
        <w:t xml:space="preserve"> neu’n wfftio</w:t>
      </w:r>
      <w:r w:rsidR="00FA12E3">
        <w:rPr>
          <w:rFonts w:ascii="Arial" w:hAnsi="Arial" w:cs="Arial"/>
          <w:lang w:val="cy-GB"/>
        </w:rPr>
        <w:t xml:space="preserve"> atebion eraill a gynigir gan y Brifysgol. Bydd y penderfyniad yn ystyried</w:t>
      </w:r>
      <w:r w:rsidR="00044A25" w:rsidRPr="00B64CB5">
        <w:rPr>
          <w:rFonts w:ascii="Arial" w:hAnsi="Arial" w:cs="Arial"/>
          <w:lang w:val="cy-GB"/>
        </w:rPr>
        <w:t>:</w:t>
      </w:r>
    </w:p>
    <w:p w:rsidR="006E5BBA" w:rsidRPr="00B64CB5" w:rsidRDefault="006E5BB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867EB3" w:rsidRPr="00B64CB5" w:rsidRDefault="00FA12E3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graddau’r anghyfleustra</w:t>
      </w:r>
    </w:p>
    <w:p w:rsidR="00867EB3" w:rsidRPr="00B64CB5" w:rsidRDefault="00FA12E3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mor ddifrifol yw unrhyw ofid, a ph’un a oes unrhyw dystiolaeth ategol yn bodoli i’w ddogfennu</w:t>
      </w:r>
    </w:p>
    <w:p w:rsidR="00867EB3" w:rsidRPr="00B64CB5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p’un a gododd y myfyriwr y materion hyn ar y pryd</w:t>
      </w:r>
    </w:p>
    <w:p w:rsidR="00867EB3" w:rsidRPr="00B64CB5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cyfnod pan ddigwyddodd y b</w:t>
      </w:r>
      <w:r w:rsidR="00867EB3" w:rsidRPr="00B64CB5">
        <w:rPr>
          <w:rFonts w:ascii="Arial" w:hAnsi="Arial" w:cs="Arial"/>
          <w:lang w:val="cy-GB"/>
        </w:rPr>
        <w:t xml:space="preserve">roblem </w:t>
      </w:r>
    </w:p>
    <w:p w:rsidR="00867EB3" w:rsidRPr="00B64CB5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p’un a fu methiannau neu oedi gan y Brifysgol wrth ymdrin â’r mater, a oedd o fewn ei rheolaeth</w:t>
      </w:r>
    </w:p>
    <w:p w:rsidR="00C221D8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 w:rsidRPr="00C221D8">
        <w:rPr>
          <w:rFonts w:ascii="Arial" w:hAnsi="Arial" w:cs="Arial"/>
          <w:lang w:val="cy-GB"/>
        </w:rPr>
        <w:t xml:space="preserve">natur a nifer gweithredoedd y Brifysgol a arweiniodd at ategu’r gŵyn </w:t>
      </w:r>
    </w:p>
    <w:p w:rsidR="00867EB3" w:rsidRPr="00C221D8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p’un a yw’r Brifysgol wedi cymryd camau i leihau neu fynd i’r afael ag</w:t>
      </w:r>
      <w:r w:rsidR="00A9726F">
        <w:rPr>
          <w:rFonts w:ascii="Arial" w:hAnsi="Arial" w:cs="Arial"/>
          <w:lang w:val="cy-GB"/>
        </w:rPr>
        <w:t xml:space="preserve"> unrhyw ofid neu anghyfleuster</w:t>
      </w:r>
      <w:r>
        <w:rPr>
          <w:rFonts w:ascii="Arial" w:hAnsi="Arial" w:cs="Arial"/>
          <w:lang w:val="cy-GB"/>
        </w:rPr>
        <w:t xml:space="preserve"> </w:t>
      </w:r>
    </w:p>
    <w:p w:rsidR="00044A25" w:rsidRPr="00B64CB5" w:rsidRDefault="00C221D8" w:rsidP="000F558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p’un a yw ymdrin â’r achos wedi creu gofid neu anghyfleustra yn ychwanegol i’r hyn  sy’n rhan sylfaenol o unrhyw gŵyn</w:t>
      </w:r>
      <w:r w:rsidR="003F7BF8" w:rsidRPr="00B64CB5">
        <w:rPr>
          <w:rFonts w:ascii="Arial" w:hAnsi="Arial" w:cs="Arial"/>
          <w:lang w:val="cy-GB"/>
        </w:rPr>
        <w:t>.</w:t>
      </w:r>
    </w:p>
    <w:p w:rsidR="00FE00A8" w:rsidRPr="00B64CB5" w:rsidRDefault="00FE00A8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044A25" w:rsidRPr="00B64CB5" w:rsidRDefault="00C221D8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wneud unrhyw ddyfarniad, ystyrir arweiniad yr</w:t>
      </w:r>
      <w:r w:rsidR="005928FD" w:rsidRPr="00B64CB5">
        <w:rPr>
          <w:rFonts w:ascii="Arial" w:hAnsi="Arial" w:cs="Arial"/>
          <w:lang w:val="cy-GB"/>
        </w:rPr>
        <w:t xml:space="preserve"> OIA</w:t>
      </w:r>
      <w:r w:rsidR="006E5BBA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Mae’r</w:t>
      </w:r>
      <w:r w:rsidR="006E5BBA" w:rsidRPr="00B64CB5">
        <w:rPr>
          <w:rFonts w:ascii="Arial" w:hAnsi="Arial" w:cs="Arial"/>
          <w:lang w:val="cy-GB"/>
        </w:rPr>
        <w:t xml:space="preserve"> OIA </w:t>
      </w:r>
      <w:r>
        <w:rPr>
          <w:rFonts w:ascii="Arial" w:hAnsi="Arial" w:cs="Arial"/>
          <w:lang w:val="cy-GB"/>
        </w:rPr>
        <w:t>yn gweithredu tri band, ond nid ydynt, yn eu harweiniad, yn nodi’n eglur sut caiff achos unigol ei osod yn y bandiau hynny</w:t>
      </w:r>
      <w:r w:rsidR="00B3507D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Pan fydd y gofid yn un mân, neu </w:t>
      </w:r>
      <w:r w:rsidR="00EC4F71">
        <w:rPr>
          <w:rFonts w:ascii="Arial" w:hAnsi="Arial" w:cs="Arial"/>
          <w:lang w:val="cy-GB"/>
        </w:rPr>
        <w:t xml:space="preserve">os cafodd </w:t>
      </w:r>
      <w:r w:rsidR="00335D56">
        <w:rPr>
          <w:rFonts w:ascii="Arial" w:hAnsi="Arial" w:cs="Arial"/>
          <w:lang w:val="cy-GB"/>
        </w:rPr>
        <w:t>y cam ei unioni</w:t>
      </w:r>
      <w:r>
        <w:rPr>
          <w:rFonts w:ascii="Arial" w:hAnsi="Arial" w:cs="Arial"/>
          <w:lang w:val="cy-GB"/>
        </w:rPr>
        <w:t>’n gyflym, yna byddai taliad ar ran is y raddfa yn briodol</w:t>
      </w:r>
      <w:r w:rsidR="00B3507D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Os </w:t>
      </w:r>
      <w:r w:rsidR="00335D56">
        <w:rPr>
          <w:rFonts w:ascii="Arial" w:hAnsi="Arial" w:cs="Arial"/>
          <w:lang w:val="cy-GB"/>
        </w:rPr>
        <w:t>yw’r</w:t>
      </w:r>
      <w:r>
        <w:rPr>
          <w:rFonts w:ascii="Arial" w:hAnsi="Arial" w:cs="Arial"/>
          <w:lang w:val="cy-GB"/>
        </w:rPr>
        <w:t xml:space="preserve"> gofid </w:t>
      </w:r>
      <w:r w:rsidR="00335D56">
        <w:rPr>
          <w:rFonts w:ascii="Arial" w:hAnsi="Arial" w:cs="Arial"/>
          <w:lang w:val="cy-GB"/>
        </w:rPr>
        <w:t>yn fwy difrifol, neu na unionwyd y cam mor gyflym â phosibl, dylid defnyddio canol y raddfa. Byddai rhan uchaf y raddfa yn cael ei defnyddio lle ceir tystiolaeth fod gofid neu anghyfleustra difrifol wedi</w:t>
      </w:r>
      <w:r w:rsidR="00A9726F">
        <w:rPr>
          <w:rFonts w:ascii="Arial" w:hAnsi="Arial" w:cs="Arial"/>
          <w:lang w:val="cy-GB"/>
        </w:rPr>
        <w:t xml:space="preserve"> cael ei</w:t>
      </w:r>
      <w:r w:rsidR="00335D56">
        <w:rPr>
          <w:rFonts w:ascii="Arial" w:hAnsi="Arial" w:cs="Arial"/>
          <w:lang w:val="cy-GB"/>
        </w:rPr>
        <w:t xml:space="preserve"> achosi</w:t>
      </w:r>
      <w:r w:rsidR="00B3507D" w:rsidRPr="00B64CB5">
        <w:rPr>
          <w:rFonts w:ascii="Arial" w:hAnsi="Arial" w:cs="Arial"/>
          <w:lang w:val="cy-GB"/>
        </w:rPr>
        <w:t>.</w:t>
      </w:r>
    </w:p>
    <w:p w:rsidR="000F5589" w:rsidRPr="00B64CB5" w:rsidRDefault="000F5589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B3507D" w:rsidRPr="00B64CB5" w:rsidRDefault="00335D56" w:rsidP="000F5589">
      <w:pPr>
        <w:spacing w:after="0" w:line="240" w:lineRule="auto"/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Cs/>
          <w:u w:val="single"/>
          <w:lang w:val="cy-GB"/>
        </w:rPr>
        <w:t>Bandiau mynegol ar gyfer dyfarniadau’r OIA ar gyfer gofid ac anghyfleustra</w:t>
      </w:r>
      <w:r w:rsidR="00B3507D" w:rsidRPr="00B64CB5">
        <w:rPr>
          <w:rFonts w:ascii="Arial" w:hAnsi="Arial" w:cs="Arial"/>
          <w:bCs/>
          <w:u w:val="single"/>
          <w:lang w:val="cy-GB"/>
        </w:rPr>
        <w:t xml:space="preserve"> 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28FD" w:rsidRPr="00B64CB5" w:rsidTr="005928FD"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Lef</w:t>
            </w:r>
            <w:r w:rsidR="005928FD" w:rsidRPr="00B64CB5">
              <w:rPr>
                <w:rFonts w:ascii="Arial" w:hAnsi="Arial" w:cs="Arial"/>
                <w:b/>
                <w:bCs/>
                <w:lang w:val="cy-GB"/>
              </w:rPr>
              <w:t xml:space="preserve">el </w:t>
            </w:r>
            <w:r>
              <w:rPr>
                <w:rFonts w:ascii="Arial" w:hAnsi="Arial" w:cs="Arial"/>
                <w:b/>
                <w:bCs/>
                <w:lang w:val="cy-GB"/>
              </w:rPr>
              <w:t>y gofid a’r anghyfleustra</w:t>
            </w:r>
          </w:p>
        </w:tc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Iawndal a argymhellir</w:t>
            </w:r>
          </w:p>
        </w:tc>
      </w:tr>
      <w:tr w:rsidR="005928FD" w:rsidRPr="00B64CB5" w:rsidTr="005928FD"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Cymedrol</w:t>
            </w:r>
          </w:p>
        </w:tc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Hyd at</w:t>
            </w:r>
            <w:r w:rsidR="005928FD" w:rsidRPr="00B64CB5">
              <w:rPr>
                <w:rFonts w:ascii="Arial" w:hAnsi="Arial" w:cs="Arial"/>
                <w:bCs/>
                <w:lang w:val="cy-GB"/>
              </w:rPr>
              <w:t xml:space="preserve"> £500</w:t>
            </w:r>
          </w:p>
        </w:tc>
      </w:tr>
      <w:tr w:rsidR="005928FD" w:rsidRPr="00B64CB5" w:rsidTr="005928FD">
        <w:tc>
          <w:tcPr>
            <w:tcW w:w="4621" w:type="dxa"/>
          </w:tcPr>
          <w:p w:rsidR="005928FD" w:rsidRPr="00B64CB5" w:rsidRDefault="005928FD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 w:rsidRPr="00B64CB5">
              <w:rPr>
                <w:rFonts w:ascii="Arial" w:hAnsi="Arial" w:cs="Arial"/>
                <w:bCs/>
                <w:lang w:val="cy-GB"/>
              </w:rPr>
              <w:t>S</w:t>
            </w:r>
            <w:r w:rsidR="00335D56">
              <w:rPr>
                <w:rFonts w:ascii="Arial" w:hAnsi="Arial" w:cs="Arial"/>
                <w:bCs/>
                <w:lang w:val="cy-GB"/>
              </w:rPr>
              <w:t>ylweddol</w:t>
            </w:r>
          </w:p>
        </w:tc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Rhwng</w:t>
            </w:r>
            <w:r w:rsidR="005928FD" w:rsidRPr="00B64CB5">
              <w:rPr>
                <w:rFonts w:ascii="Arial" w:hAnsi="Arial" w:cs="Arial"/>
                <w:bCs/>
                <w:lang w:val="cy-GB"/>
              </w:rPr>
              <w:t xml:space="preserve"> £501 a £2,000</w:t>
            </w:r>
          </w:p>
        </w:tc>
      </w:tr>
      <w:tr w:rsidR="005928FD" w:rsidRPr="00B64CB5" w:rsidTr="005928FD"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Difrifol</w:t>
            </w:r>
          </w:p>
        </w:tc>
        <w:tc>
          <w:tcPr>
            <w:tcW w:w="4621" w:type="dxa"/>
          </w:tcPr>
          <w:p w:rsidR="005928FD" w:rsidRPr="00B64CB5" w:rsidRDefault="00335D56" w:rsidP="00335D56">
            <w:pPr>
              <w:jc w:val="center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Rhwng</w:t>
            </w:r>
            <w:r w:rsidR="005928FD" w:rsidRPr="00B64CB5">
              <w:rPr>
                <w:rFonts w:ascii="Arial" w:hAnsi="Arial" w:cs="Arial"/>
                <w:bCs/>
                <w:lang w:val="cy-GB"/>
              </w:rPr>
              <w:t xml:space="preserve"> £2,001 a £5,000</w:t>
            </w:r>
          </w:p>
        </w:tc>
      </w:tr>
    </w:tbl>
    <w:p w:rsidR="00B352EB" w:rsidRPr="00B64CB5" w:rsidRDefault="00B3507D" w:rsidP="000F5589">
      <w:pPr>
        <w:spacing w:after="0" w:line="240" w:lineRule="auto"/>
        <w:rPr>
          <w:rFonts w:ascii="Arial" w:hAnsi="Arial" w:cs="Arial"/>
          <w:b/>
          <w:bCs/>
          <w:lang w:val="cy-GB"/>
        </w:rPr>
      </w:pPr>
      <w:r w:rsidRPr="00B64CB5">
        <w:rPr>
          <w:rFonts w:ascii="Arial" w:hAnsi="Arial" w:cs="Arial"/>
          <w:b/>
          <w:bCs/>
          <w:lang w:val="cy-GB"/>
        </w:rPr>
        <w:tab/>
      </w:r>
    </w:p>
    <w:p w:rsidR="00225FB2" w:rsidRPr="00A9726F" w:rsidRDefault="00A9726F" w:rsidP="00A9726F">
      <w:pPr>
        <w:spacing w:after="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 xml:space="preserve">     ch) </w:t>
      </w:r>
      <w:r w:rsidR="00335D56" w:rsidRPr="00A9726F">
        <w:rPr>
          <w:rFonts w:ascii="Arial" w:hAnsi="Arial" w:cs="Arial"/>
          <w:b/>
          <w:i/>
          <w:lang w:val="cy-GB"/>
        </w:rPr>
        <w:t>Dyfarniadau iawndal tebyg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u w:val="single"/>
          <w:lang w:val="cy-GB"/>
        </w:rPr>
      </w:pPr>
    </w:p>
    <w:p w:rsidR="00225FB2" w:rsidRPr="00B64CB5" w:rsidRDefault="00335D56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ystyried swm yr iawndal y dylid ei ddyfarnu ym mhob achos unigol, bydd y Brifysgol yn ystyried y canlynol, ond nid yw </w:t>
      </w:r>
      <w:r w:rsidR="00C8542B">
        <w:rPr>
          <w:rFonts w:ascii="Arial" w:hAnsi="Arial" w:cs="Arial"/>
          <w:lang w:val="cy-GB"/>
        </w:rPr>
        <w:t>wedi’i rhwymo ganddynt, a bydd yn gwneud penderfyniad ynglŷn â theilyngdod pob achos</w:t>
      </w:r>
      <w:r w:rsidR="00225FB2" w:rsidRPr="00B64CB5">
        <w:rPr>
          <w:rFonts w:ascii="Arial" w:hAnsi="Arial" w:cs="Arial"/>
          <w:lang w:val="cy-GB"/>
        </w:rPr>
        <w:t>:</w:t>
      </w:r>
    </w:p>
    <w:p w:rsidR="006E5BBA" w:rsidRPr="00B64CB5" w:rsidRDefault="006E5BBA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867EB3" w:rsidRPr="00B64CB5" w:rsidRDefault="00335D56" w:rsidP="000F55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dyfarniadau iawndal blaenorol a wnaed gan y Brifysgol</w:t>
      </w:r>
    </w:p>
    <w:p w:rsidR="00044A25" w:rsidRPr="00B64CB5" w:rsidRDefault="00335D56" w:rsidP="000F55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dyfarniadau a wnaed gan Swyddfa’r Dyfarnwr Annibynnol neu gyrff perthnasol eraill, naill ai yn y Brifysgol hon, neu yn unol â’r hyn a gyhoeddwyd yn astudiaethau achos neu arweiniad yr </w:t>
      </w:r>
      <w:r w:rsidR="00B3507D" w:rsidRPr="00B64CB5">
        <w:rPr>
          <w:rFonts w:ascii="Arial" w:hAnsi="Arial" w:cs="Arial"/>
          <w:lang w:val="cy-GB"/>
        </w:rPr>
        <w:t>OIA.</w:t>
      </w:r>
    </w:p>
    <w:p w:rsidR="006628E7" w:rsidRPr="00B64CB5" w:rsidRDefault="006628E7" w:rsidP="000F5589">
      <w:pPr>
        <w:spacing w:after="0" w:line="240" w:lineRule="auto"/>
        <w:rPr>
          <w:rFonts w:ascii="Arial" w:hAnsi="Arial" w:cs="Arial"/>
          <w:lang w:val="cy-GB"/>
        </w:rPr>
      </w:pPr>
    </w:p>
    <w:p w:rsidR="004B1070" w:rsidRPr="00B64CB5" w:rsidRDefault="00A44364" w:rsidP="000F5589">
      <w:pPr>
        <w:spacing w:after="0" w:line="240" w:lineRule="auto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5</w:t>
      </w:r>
      <w:r w:rsidR="004B1070" w:rsidRPr="00B64CB5">
        <w:rPr>
          <w:rFonts w:ascii="Arial" w:hAnsi="Arial" w:cs="Arial"/>
          <w:b/>
          <w:lang w:val="cy-GB"/>
        </w:rPr>
        <w:t>.</w:t>
      </w:r>
      <w:r w:rsidR="004B1070" w:rsidRPr="00B64CB5">
        <w:rPr>
          <w:rFonts w:ascii="Arial" w:hAnsi="Arial" w:cs="Arial"/>
          <w:b/>
          <w:lang w:val="cy-GB"/>
        </w:rPr>
        <w:tab/>
      </w:r>
      <w:r w:rsidR="00335D56">
        <w:rPr>
          <w:rFonts w:ascii="Arial" w:hAnsi="Arial" w:cs="Arial"/>
          <w:b/>
          <w:lang w:val="cy-GB"/>
        </w:rPr>
        <w:t>Proses Llwybr Carlam</w:t>
      </w:r>
    </w:p>
    <w:p w:rsidR="004B1070" w:rsidRPr="00B64CB5" w:rsidRDefault="004B1070" w:rsidP="000F5589">
      <w:pPr>
        <w:spacing w:after="0" w:line="240" w:lineRule="auto"/>
        <w:rPr>
          <w:rFonts w:ascii="Arial" w:hAnsi="Arial" w:cs="Arial"/>
          <w:b/>
          <w:lang w:val="cy-GB"/>
        </w:rPr>
      </w:pPr>
    </w:p>
    <w:p w:rsidR="004B1070" w:rsidRPr="00B64CB5" w:rsidRDefault="00C8542B" w:rsidP="000F5589">
      <w:pPr>
        <w:spacing w:after="0" w:line="24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 fod yna adegau, lle mae’n hysbys fod mater wedi effeithio ar nifer fawr o fyfyrwyr, pan fydd y Brifysgol yn penderfynu gwneud cynnig i’r holl fyfyrwyr sydd wedi’u heffeithio, i unioni cam </w:t>
      </w:r>
      <w:r w:rsidR="00A9726F">
        <w:rPr>
          <w:rFonts w:ascii="Arial" w:hAnsi="Arial" w:cs="Arial"/>
          <w:lang w:val="cy-GB"/>
        </w:rPr>
        <w:t xml:space="preserve">o ran </w:t>
      </w:r>
      <w:r>
        <w:rPr>
          <w:rFonts w:ascii="Arial" w:hAnsi="Arial" w:cs="Arial"/>
          <w:lang w:val="cy-GB"/>
        </w:rPr>
        <w:t>y materion y tu allan i’r Rheoliadau Cwynion Myfyrwyr arferol. Ni fydd myfyrwyr yn colli’r hawl i ddefnyddio Rheoliadau Cwynion Myfyrwyr y Brifysgol os byddant yn dymuno gwneud hynny, neu os byddant yn parhau’n anfodlon â’r cynnig</w:t>
      </w:r>
      <w:r w:rsidR="00013F4C" w:rsidRPr="00B64CB5">
        <w:rPr>
          <w:rFonts w:ascii="Arial" w:hAnsi="Arial" w:cs="Arial"/>
          <w:lang w:val="cy-GB"/>
        </w:rPr>
        <w:t>.</w:t>
      </w:r>
    </w:p>
    <w:p w:rsidR="004B1070" w:rsidRPr="00B64CB5" w:rsidRDefault="004B1070" w:rsidP="000F5589">
      <w:pPr>
        <w:spacing w:after="0" w:line="240" w:lineRule="auto"/>
        <w:rPr>
          <w:rFonts w:ascii="Arial" w:hAnsi="Arial" w:cs="Arial"/>
          <w:b/>
          <w:lang w:val="cy-GB"/>
        </w:rPr>
      </w:pPr>
    </w:p>
    <w:p w:rsidR="004B1070" w:rsidRPr="00B64CB5" w:rsidRDefault="004B1070">
      <w:pPr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br w:type="page"/>
      </w:r>
    </w:p>
    <w:p w:rsidR="00867EB3" w:rsidRPr="00B64CB5" w:rsidRDefault="00EE55BD" w:rsidP="000F5589">
      <w:pPr>
        <w:spacing w:after="0" w:line="240" w:lineRule="auto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A</w:t>
      </w:r>
      <w:r w:rsidR="00C8542B">
        <w:rPr>
          <w:rFonts w:ascii="Arial" w:hAnsi="Arial" w:cs="Arial"/>
          <w:b/>
          <w:lang w:val="cy-GB"/>
        </w:rPr>
        <w:t>todiad</w:t>
      </w:r>
      <w:r w:rsidRPr="00B64CB5">
        <w:rPr>
          <w:rFonts w:ascii="Arial" w:hAnsi="Arial" w:cs="Arial"/>
          <w:b/>
          <w:lang w:val="cy-GB"/>
        </w:rPr>
        <w:t xml:space="preserve"> 1</w:t>
      </w: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b/>
          <w:lang w:val="cy-GB"/>
        </w:rPr>
      </w:pPr>
    </w:p>
    <w:p w:rsidR="00EE55BD" w:rsidRPr="00B64CB5" w:rsidRDefault="00EE55BD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UNIVERSITY OF SOUTH WALES</w:t>
      </w:r>
    </w:p>
    <w:p w:rsidR="00EE55BD" w:rsidRPr="00B64CB5" w:rsidRDefault="00EE55BD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 w:rsidRPr="00B64CB5">
        <w:rPr>
          <w:rFonts w:ascii="Arial" w:hAnsi="Arial" w:cs="Arial"/>
          <w:b/>
          <w:lang w:val="cy-GB"/>
        </w:rPr>
        <w:t>PRIFYSGOL DE CYMRU</w:t>
      </w:r>
    </w:p>
    <w:p w:rsidR="00EE55BD" w:rsidRPr="00B64CB5" w:rsidRDefault="00EE55BD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</w:p>
    <w:p w:rsidR="00EE55BD" w:rsidRPr="00B64CB5" w:rsidRDefault="00C8542B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UNED GWAITH ACHOS MYFYRWYR</w:t>
      </w:r>
    </w:p>
    <w:p w:rsidR="00EE55BD" w:rsidRPr="00B64CB5" w:rsidRDefault="00EE55BD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</w:p>
    <w:p w:rsidR="00EE55BD" w:rsidRPr="00B64CB5" w:rsidRDefault="00C8542B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GWEITHDREFN AR GYFER CYMERADWYO CYNIGION AM IAWNDAL ARIANNOL</w:t>
      </w:r>
      <w:r w:rsidR="00EE55BD" w:rsidRPr="00B64CB5">
        <w:rPr>
          <w:rFonts w:ascii="Arial" w:hAnsi="Arial" w:cs="Arial"/>
          <w:b/>
          <w:lang w:val="cy-GB"/>
        </w:rPr>
        <w:t xml:space="preserve"> </w:t>
      </w:r>
    </w:p>
    <w:p w:rsidR="00EE55BD" w:rsidRPr="00B64CB5" w:rsidRDefault="00EE55BD" w:rsidP="00EE55BD">
      <w:pPr>
        <w:spacing w:after="0" w:line="240" w:lineRule="auto"/>
        <w:jc w:val="center"/>
        <w:rPr>
          <w:rFonts w:ascii="Arial" w:hAnsi="Arial" w:cs="Arial"/>
          <w:b/>
          <w:lang w:val="cy-GB"/>
        </w:rPr>
      </w:pPr>
    </w:p>
    <w:p w:rsidR="00EE55BD" w:rsidRPr="00B64CB5" w:rsidRDefault="001A2424" w:rsidP="00EE55BD">
      <w:pPr>
        <w:spacing w:after="0" w:line="240" w:lineRule="auto"/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>Argymhellion a wnaed trwy weithdrefn gŵynion fewnol y Brifysgol</w:t>
      </w:r>
    </w:p>
    <w:p w:rsidR="00EE55BD" w:rsidRPr="00B64CB5" w:rsidRDefault="00EE55BD" w:rsidP="00EE55BD">
      <w:pPr>
        <w:spacing w:after="0" w:line="240" w:lineRule="auto"/>
        <w:rPr>
          <w:rFonts w:ascii="Arial" w:hAnsi="Arial" w:cs="Arial"/>
          <w:b/>
          <w:lang w:val="cy-GB"/>
        </w:rPr>
      </w:pPr>
    </w:p>
    <w:p w:rsidR="00EE55BD" w:rsidRPr="00B64CB5" w:rsidRDefault="00413CAB" w:rsidP="000600A0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ymchwilio i gŵynion y gyfadran, gall swyddogion ymchwilio neu swyddogion adolygu cwynion, o bryd i’w gilydd, ddod i’r casgliad y dylai’r Brifysgol ddarparu iawndal ariannol i fyfyriwr</w:t>
      </w:r>
      <w:r w:rsidR="00EE55BD" w:rsidRPr="00B64CB5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Fel rheol, gwneir hyn dim ond pan na fydd unrhyw ffordd arall o unioni cam sy’n briodol dan yr amgylchiadau</w:t>
      </w:r>
      <w:r w:rsidR="007D2D95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gweler yr Arweiniad ar Ffyrdd o Unioni Cam a Gwneud Iawn</w:t>
      </w:r>
      <w:r w:rsidR="00775679" w:rsidRPr="00B64CB5">
        <w:rPr>
          <w:rFonts w:ascii="Arial" w:hAnsi="Arial" w:cs="Arial"/>
          <w:lang w:val="cy-GB"/>
        </w:rPr>
        <w:t>)</w:t>
      </w:r>
      <w:r w:rsidR="00EE55BD" w:rsidRPr="00B64CB5">
        <w:rPr>
          <w:rFonts w:ascii="Arial" w:hAnsi="Arial" w:cs="Arial"/>
          <w:lang w:val="cy-GB"/>
        </w:rPr>
        <w:t xml:space="preserve">. </w:t>
      </w:r>
    </w:p>
    <w:p w:rsidR="00EE55BD" w:rsidRPr="00B64CB5" w:rsidRDefault="00EE55BD" w:rsidP="000600A0">
      <w:pPr>
        <w:pStyle w:val="ListParagraph"/>
        <w:spacing w:after="0" w:line="240" w:lineRule="auto"/>
        <w:rPr>
          <w:rFonts w:ascii="Arial" w:hAnsi="Arial" w:cs="Arial"/>
          <w:lang w:val="cy-GB"/>
        </w:rPr>
      </w:pPr>
    </w:p>
    <w:p w:rsidR="00EE55BD" w:rsidRPr="00B64CB5" w:rsidRDefault="00413CAB" w:rsidP="000600A0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Cyn cyfleu casgliad i’r myfyriwr sy’n cynnwys iawndal ariannol </w:t>
      </w:r>
      <w:r w:rsidR="00EE55BD" w:rsidRPr="00B64CB5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neu hyd yn oed drafod y cynnig posibl gyda’r myfyriwr</w:t>
      </w:r>
      <w:r w:rsidR="00EE55BD" w:rsidRPr="00B64CB5">
        <w:rPr>
          <w:rFonts w:ascii="Arial" w:hAnsi="Arial" w:cs="Arial"/>
          <w:lang w:val="cy-GB"/>
        </w:rPr>
        <w:t>),</w:t>
      </w:r>
      <w:r>
        <w:rPr>
          <w:rFonts w:ascii="Arial" w:hAnsi="Arial" w:cs="Arial"/>
          <w:lang w:val="cy-GB"/>
        </w:rPr>
        <w:t xml:space="preserve"> dylid dilyn y weithdrefn ganlynol</w:t>
      </w:r>
      <w:r w:rsidR="00EE55BD" w:rsidRPr="00B64CB5">
        <w:rPr>
          <w:rFonts w:ascii="Arial" w:hAnsi="Arial" w:cs="Arial"/>
          <w:lang w:val="cy-GB"/>
        </w:rPr>
        <w:t>:</w:t>
      </w:r>
    </w:p>
    <w:p w:rsidR="00EE55BD" w:rsidRPr="00B64CB5" w:rsidRDefault="00EE55BD" w:rsidP="000600A0">
      <w:pPr>
        <w:pStyle w:val="ListParagraph"/>
        <w:spacing w:after="0" w:line="240" w:lineRule="auto"/>
        <w:rPr>
          <w:rFonts w:ascii="Arial" w:hAnsi="Arial" w:cs="Arial"/>
          <w:lang w:val="cy-GB"/>
        </w:rPr>
      </w:pPr>
    </w:p>
    <w:p w:rsidR="00EE55BD" w:rsidRPr="00B64CB5" w:rsidRDefault="00413CAB" w:rsidP="000600A0">
      <w:pPr>
        <w:pStyle w:val="ListParagraph"/>
        <w:numPr>
          <w:ilvl w:val="1"/>
          <w:numId w:val="7"/>
        </w:numPr>
        <w:spacing w:after="0" w:line="240" w:lineRule="auto"/>
        <w:ind w:left="1418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cynnal cyfarfod gyda’r Cofrestrydd Cysylltiol</w:t>
      </w:r>
      <w:r w:rsidR="00775679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Gwaith Achos Myfyrwyr</w:t>
      </w:r>
      <w:r w:rsidR="00775679" w:rsidRPr="00B64CB5">
        <w:rPr>
          <w:rFonts w:ascii="Arial" w:hAnsi="Arial" w:cs="Arial"/>
          <w:lang w:val="cy-GB"/>
        </w:rPr>
        <w:t>)</w:t>
      </w:r>
      <w:r w:rsidR="00EE55BD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neu enwebai</w:t>
      </w:r>
      <w:r w:rsidR="00EE55BD" w:rsidRPr="00B64CB5">
        <w:rPr>
          <w:rFonts w:ascii="Arial" w:hAnsi="Arial" w:cs="Arial"/>
          <w:lang w:val="cy-GB"/>
        </w:rPr>
        <w:t>) a</w:t>
      </w:r>
      <w:r>
        <w:rPr>
          <w:rFonts w:ascii="Arial" w:hAnsi="Arial" w:cs="Arial"/>
          <w:lang w:val="cy-GB"/>
        </w:rPr>
        <w:t xml:space="preserve"> Deon y Gyfadran</w:t>
      </w:r>
      <w:r w:rsidR="00EE55BD" w:rsidRPr="00B64CB5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>y Pennaeth Adran</w:t>
      </w:r>
      <w:r w:rsidR="00EE55BD" w:rsidRPr="00B64CB5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neu enwebai</w:t>
      </w:r>
      <w:r w:rsidR="00EE55BD" w:rsidRPr="00B64CB5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i drafod yr iawndal ariannol arfaethedig a’r seiliau a’r dystiolaeth a gafwyd i ddod i’</w:t>
      </w:r>
      <w:r w:rsidR="00F1597E">
        <w:rPr>
          <w:rFonts w:ascii="Arial" w:hAnsi="Arial" w:cs="Arial"/>
          <w:lang w:val="cy-GB"/>
        </w:rPr>
        <w:t>r casgliad y dylid c</w:t>
      </w:r>
      <w:r>
        <w:rPr>
          <w:rFonts w:ascii="Arial" w:hAnsi="Arial" w:cs="Arial"/>
          <w:lang w:val="cy-GB"/>
        </w:rPr>
        <w:t>ynnig y swm hwn</w:t>
      </w:r>
    </w:p>
    <w:p w:rsidR="00EE55BD" w:rsidRPr="00B64CB5" w:rsidRDefault="00775679" w:rsidP="000600A0">
      <w:pPr>
        <w:spacing w:after="0" w:line="240" w:lineRule="auto"/>
        <w:ind w:left="1418" w:hanging="709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>2</w:t>
      </w:r>
      <w:r w:rsidR="00EE55BD" w:rsidRPr="00B64CB5">
        <w:rPr>
          <w:rFonts w:ascii="Arial" w:hAnsi="Arial" w:cs="Arial"/>
          <w:lang w:val="cy-GB"/>
        </w:rPr>
        <w:t>.2</w:t>
      </w:r>
      <w:r w:rsidR="00EE55BD" w:rsidRPr="00B64CB5">
        <w:rPr>
          <w:rFonts w:ascii="Arial" w:hAnsi="Arial" w:cs="Arial"/>
          <w:lang w:val="cy-GB"/>
        </w:rPr>
        <w:tab/>
      </w:r>
      <w:r w:rsidR="00413CAB">
        <w:rPr>
          <w:rFonts w:ascii="Arial" w:hAnsi="Arial" w:cs="Arial"/>
          <w:lang w:val="cy-GB"/>
        </w:rPr>
        <w:t>Pan fydd yr iawndal ariannol arfaethedig hyd at, ac yn cynnwys,</w:t>
      </w:r>
      <w:r w:rsidR="00EE55BD" w:rsidRPr="00B64CB5">
        <w:rPr>
          <w:rFonts w:ascii="Arial" w:hAnsi="Arial" w:cs="Arial"/>
          <w:lang w:val="cy-GB"/>
        </w:rPr>
        <w:t xml:space="preserve"> £500</w:t>
      </w:r>
      <w:r w:rsidR="00413CAB">
        <w:rPr>
          <w:rFonts w:ascii="Arial" w:hAnsi="Arial" w:cs="Arial"/>
          <w:lang w:val="cy-GB"/>
        </w:rPr>
        <w:t xml:space="preserve">, bydd y penderfyniad yn cael ei wneud gan y Cofrestrydd Cysylltiol </w:t>
      </w:r>
      <w:r w:rsidRPr="00B64CB5">
        <w:rPr>
          <w:rFonts w:ascii="Arial" w:hAnsi="Arial" w:cs="Arial"/>
          <w:lang w:val="cy-GB"/>
        </w:rPr>
        <w:t>(</w:t>
      </w:r>
      <w:r w:rsidR="00413CAB">
        <w:rPr>
          <w:rFonts w:ascii="Arial" w:hAnsi="Arial" w:cs="Arial"/>
          <w:lang w:val="cy-GB"/>
        </w:rPr>
        <w:t>Gwaith Achos Myfyrwyr</w:t>
      </w:r>
      <w:r w:rsidRPr="00B64CB5">
        <w:rPr>
          <w:rFonts w:ascii="Arial" w:hAnsi="Arial" w:cs="Arial"/>
          <w:lang w:val="cy-GB"/>
        </w:rPr>
        <w:t>)</w:t>
      </w:r>
    </w:p>
    <w:p w:rsidR="00EE55BD" w:rsidRPr="00B64CB5" w:rsidRDefault="00775679" w:rsidP="000600A0">
      <w:pPr>
        <w:spacing w:after="0" w:line="240" w:lineRule="auto"/>
        <w:ind w:left="1418" w:hanging="709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>2</w:t>
      </w:r>
      <w:r w:rsidR="00EE55BD" w:rsidRPr="00B64CB5">
        <w:rPr>
          <w:rFonts w:ascii="Arial" w:hAnsi="Arial" w:cs="Arial"/>
          <w:lang w:val="cy-GB"/>
        </w:rPr>
        <w:t>.3</w:t>
      </w:r>
      <w:r w:rsidR="00EE55BD" w:rsidRPr="00B64CB5">
        <w:rPr>
          <w:rFonts w:ascii="Arial" w:hAnsi="Arial" w:cs="Arial"/>
          <w:lang w:val="cy-GB"/>
        </w:rPr>
        <w:tab/>
      </w:r>
      <w:r w:rsidR="001F077C">
        <w:rPr>
          <w:rFonts w:ascii="Arial" w:hAnsi="Arial" w:cs="Arial"/>
          <w:lang w:val="cy-GB"/>
        </w:rPr>
        <w:t>Pan fydd yr iawndal ariannol arfaethedig uwchlaw</w:t>
      </w:r>
      <w:r w:rsidR="00EE55BD" w:rsidRPr="00B64CB5">
        <w:rPr>
          <w:rFonts w:ascii="Arial" w:hAnsi="Arial" w:cs="Arial"/>
          <w:lang w:val="cy-GB"/>
        </w:rPr>
        <w:t xml:space="preserve"> £500</w:t>
      </w:r>
      <w:r w:rsidR="000F0468">
        <w:rPr>
          <w:rFonts w:ascii="Arial" w:hAnsi="Arial" w:cs="Arial"/>
          <w:lang w:val="cy-GB"/>
        </w:rPr>
        <w:t>, bydd y Cofrestrydd Cysylltiol</w:t>
      </w:r>
      <w:r w:rsidRPr="00B64CB5">
        <w:rPr>
          <w:rFonts w:ascii="Arial" w:hAnsi="Arial" w:cs="Arial"/>
          <w:lang w:val="cy-GB"/>
        </w:rPr>
        <w:t xml:space="preserve"> (</w:t>
      </w:r>
      <w:r w:rsidR="000F0468">
        <w:rPr>
          <w:rFonts w:ascii="Arial" w:hAnsi="Arial" w:cs="Arial"/>
          <w:lang w:val="cy-GB"/>
        </w:rPr>
        <w:t>Gwaith Achos Myfyrwyr</w:t>
      </w:r>
      <w:r w:rsidRPr="00B64CB5">
        <w:rPr>
          <w:rFonts w:ascii="Arial" w:hAnsi="Arial" w:cs="Arial"/>
          <w:lang w:val="cy-GB"/>
        </w:rPr>
        <w:t>)</w:t>
      </w:r>
      <w:r w:rsidR="00EE55BD" w:rsidRPr="00B64CB5">
        <w:rPr>
          <w:rFonts w:ascii="Arial" w:hAnsi="Arial" w:cs="Arial"/>
          <w:lang w:val="cy-GB"/>
        </w:rPr>
        <w:t xml:space="preserve"> (</w:t>
      </w:r>
      <w:r w:rsidR="000F0468">
        <w:rPr>
          <w:rFonts w:ascii="Arial" w:hAnsi="Arial" w:cs="Arial"/>
          <w:lang w:val="cy-GB"/>
        </w:rPr>
        <w:t>neu enwebai</w:t>
      </w:r>
      <w:r w:rsidR="00EE55BD" w:rsidRPr="00B64CB5">
        <w:rPr>
          <w:rFonts w:ascii="Arial" w:hAnsi="Arial" w:cs="Arial"/>
          <w:lang w:val="cy-GB"/>
        </w:rPr>
        <w:t>)</w:t>
      </w:r>
      <w:r w:rsidR="000F0468">
        <w:rPr>
          <w:rFonts w:ascii="Arial" w:hAnsi="Arial" w:cs="Arial"/>
          <w:lang w:val="cy-GB"/>
        </w:rPr>
        <w:t xml:space="preserve"> yn llunio adroddiad, a fydd yn cael ei ystyried gan y Dirprwy Is-Ganghellor</w:t>
      </w:r>
      <w:r w:rsidR="00EE55BD" w:rsidRPr="00B64CB5">
        <w:rPr>
          <w:rFonts w:ascii="Arial" w:hAnsi="Arial" w:cs="Arial"/>
          <w:lang w:val="cy-GB"/>
        </w:rPr>
        <w:t xml:space="preserve"> (</w:t>
      </w:r>
      <w:r w:rsidR="000F0468">
        <w:rPr>
          <w:rFonts w:ascii="Arial" w:hAnsi="Arial" w:cs="Arial"/>
          <w:lang w:val="cy-GB"/>
        </w:rPr>
        <w:t xml:space="preserve">Adnoddau </w:t>
      </w:r>
      <w:r w:rsidR="00EE55BD" w:rsidRPr="00B64CB5">
        <w:rPr>
          <w:rFonts w:ascii="Arial" w:hAnsi="Arial" w:cs="Arial"/>
          <w:lang w:val="cy-GB"/>
        </w:rPr>
        <w:t>Strateg</w:t>
      </w:r>
      <w:r w:rsidR="000F0468">
        <w:rPr>
          <w:rFonts w:ascii="Arial" w:hAnsi="Arial" w:cs="Arial"/>
          <w:lang w:val="cy-GB"/>
        </w:rPr>
        <w:t>ol)</w:t>
      </w:r>
      <w:r w:rsidRPr="00B64CB5">
        <w:rPr>
          <w:rFonts w:ascii="Arial" w:hAnsi="Arial" w:cs="Arial"/>
          <w:lang w:val="cy-GB"/>
        </w:rPr>
        <w:t xml:space="preserve"> (</w:t>
      </w:r>
      <w:r w:rsidR="000F0468">
        <w:rPr>
          <w:rFonts w:ascii="Arial" w:hAnsi="Arial" w:cs="Arial"/>
          <w:lang w:val="cy-GB"/>
        </w:rPr>
        <w:t>neu enwebai</w:t>
      </w:r>
      <w:r w:rsidRPr="00B64CB5">
        <w:rPr>
          <w:rFonts w:ascii="Arial" w:hAnsi="Arial" w:cs="Arial"/>
          <w:lang w:val="cy-GB"/>
        </w:rPr>
        <w:t>)</w:t>
      </w:r>
      <w:r w:rsidR="00EE55BD" w:rsidRPr="00B64CB5">
        <w:rPr>
          <w:rFonts w:ascii="Arial" w:hAnsi="Arial" w:cs="Arial"/>
          <w:lang w:val="cy-GB"/>
        </w:rPr>
        <w:t xml:space="preserve">, </w:t>
      </w:r>
      <w:r w:rsidR="000F0468">
        <w:rPr>
          <w:rFonts w:ascii="Arial" w:hAnsi="Arial" w:cs="Arial"/>
          <w:lang w:val="cy-GB"/>
        </w:rPr>
        <w:t>yn rhoi manylion am yr achos, gwybodaeth am unrhyw achosion perthnasol blaenorol a swm yr iawndal ariannol a wneir mewn achosion o’</w:t>
      </w:r>
      <w:r w:rsidR="00F1597E">
        <w:rPr>
          <w:rFonts w:ascii="Arial" w:hAnsi="Arial" w:cs="Arial"/>
          <w:lang w:val="cy-GB"/>
        </w:rPr>
        <w:t>r fath. Bydd penderfyniad am</w:t>
      </w:r>
      <w:r w:rsidR="000F0468">
        <w:rPr>
          <w:rFonts w:ascii="Arial" w:hAnsi="Arial" w:cs="Arial"/>
          <w:lang w:val="cy-GB"/>
        </w:rPr>
        <w:t xml:space="preserve"> yr iawndal arfaethedig yn cael ei roi o fewn 5 diwrnod gwaith</w:t>
      </w:r>
      <w:r w:rsidRPr="00B64CB5">
        <w:rPr>
          <w:rFonts w:ascii="Arial" w:hAnsi="Arial" w:cs="Arial"/>
          <w:lang w:val="cy-GB"/>
        </w:rPr>
        <w:t>.</w:t>
      </w:r>
    </w:p>
    <w:p w:rsidR="00EE55BD" w:rsidRPr="00B64CB5" w:rsidRDefault="00EE55BD" w:rsidP="000600A0">
      <w:pPr>
        <w:spacing w:after="0" w:line="240" w:lineRule="auto"/>
        <w:ind w:left="1418" w:hanging="709"/>
        <w:rPr>
          <w:rFonts w:ascii="Arial" w:hAnsi="Arial" w:cs="Arial"/>
          <w:lang w:val="cy-GB"/>
        </w:rPr>
      </w:pPr>
    </w:p>
    <w:p w:rsidR="00775679" w:rsidRPr="00B64CB5" w:rsidRDefault="007C7A75" w:rsidP="000600A0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yr Uned Gwaith Achos Myfyrwyr yn ysgrifennu at y myfyriwr yn rhoi manylion am y cynnig am iawndal ariannol, ac yn gofyn iddo ddychwelyd y Ffurflen Hawlio Arian</w:t>
      </w:r>
      <w:r w:rsidR="00EE55BD" w:rsidRPr="00B64CB5">
        <w:rPr>
          <w:rFonts w:ascii="Arial" w:hAnsi="Arial" w:cs="Arial"/>
          <w:lang w:val="cy-GB"/>
        </w:rPr>
        <w:t>.</w:t>
      </w:r>
    </w:p>
    <w:p w:rsidR="00775679" w:rsidRPr="00B64CB5" w:rsidRDefault="00775679" w:rsidP="000600A0">
      <w:pPr>
        <w:pStyle w:val="ListParagraph"/>
        <w:spacing w:after="0" w:line="240" w:lineRule="auto"/>
        <w:rPr>
          <w:rFonts w:ascii="Arial" w:hAnsi="Arial" w:cs="Arial"/>
          <w:lang w:val="cy-GB"/>
        </w:rPr>
      </w:pPr>
    </w:p>
    <w:p w:rsidR="00EE55BD" w:rsidRPr="00B64CB5" w:rsidRDefault="007C7A75" w:rsidP="000600A0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gyfadran/yr adran yn gyfrifol am drefnu taliad ar ôl derbyn y Ffurflen Hawlio Arian o’r Uned Gwaith Achos Myfyrwyr</w:t>
      </w:r>
      <w:r w:rsidR="00EE55BD" w:rsidRPr="00B64CB5">
        <w:rPr>
          <w:rFonts w:ascii="Arial" w:hAnsi="Arial" w:cs="Arial"/>
          <w:lang w:val="cy-GB"/>
        </w:rPr>
        <w:t>.</w:t>
      </w:r>
    </w:p>
    <w:p w:rsidR="00775679" w:rsidRPr="00B64CB5" w:rsidRDefault="00775679" w:rsidP="000600A0">
      <w:pPr>
        <w:pStyle w:val="ListParagraph"/>
        <w:spacing w:after="0" w:line="240" w:lineRule="auto"/>
        <w:rPr>
          <w:rFonts w:ascii="Arial" w:hAnsi="Arial" w:cs="Arial"/>
          <w:lang w:val="cy-GB"/>
        </w:rPr>
      </w:pPr>
    </w:p>
    <w:p w:rsidR="00EE55BD" w:rsidRPr="00B64CB5" w:rsidRDefault="007C7A75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>Ildiadau hawl ffioedd</w:t>
      </w: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u w:val="single"/>
          <w:lang w:val="cy-GB"/>
        </w:rPr>
      </w:pP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>6.</w:t>
      </w:r>
      <w:r w:rsidRPr="00B64CB5">
        <w:rPr>
          <w:rFonts w:ascii="Arial" w:hAnsi="Arial" w:cs="Arial"/>
          <w:lang w:val="cy-GB"/>
        </w:rPr>
        <w:tab/>
      </w:r>
      <w:r w:rsidR="007C7A75">
        <w:rPr>
          <w:rFonts w:ascii="Arial" w:hAnsi="Arial" w:cs="Arial"/>
          <w:lang w:val="cy-GB"/>
        </w:rPr>
        <w:t>Pan fydd myfyriwr wedi cael ei hysbysu’n anghywir am y ffioedd ar gyfer cwrs, a</w:t>
      </w:r>
      <w:r w:rsidR="00EC4F71">
        <w:rPr>
          <w:rFonts w:ascii="Arial" w:hAnsi="Arial" w:cs="Arial"/>
          <w:lang w:val="cy-GB"/>
        </w:rPr>
        <w:t xml:space="preserve">c os yw’r </w:t>
      </w:r>
      <w:r w:rsidR="007C7A75">
        <w:rPr>
          <w:rFonts w:ascii="Arial" w:hAnsi="Arial" w:cs="Arial"/>
          <w:lang w:val="cy-GB"/>
        </w:rPr>
        <w:t xml:space="preserve">Brifysgol wedi cytuno </w:t>
      </w:r>
      <w:r w:rsidR="00EC4F71">
        <w:rPr>
          <w:rFonts w:ascii="Arial" w:hAnsi="Arial" w:cs="Arial"/>
          <w:lang w:val="cy-GB"/>
        </w:rPr>
        <w:t>i g</w:t>
      </w:r>
      <w:r w:rsidR="007C7A75">
        <w:rPr>
          <w:rFonts w:ascii="Arial" w:hAnsi="Arial" w:cs="Arial"/>
          <w:lang w:val="cy-GB"/>
        </w:rPr>
        <w:t xml:space="preserve">odi’r ffi is, mae’r Cofrestrydd Cysylltiol </w:t>
      </w:r>
      <w:r w:rsidR="00775679" w:rsidRPr="00B64CB5">
        <w:rPr>
          <w:rFonts w:ascii="Arial" w:hAnsi="Arial" w:cs="Arial"/>
          <w:lang w:val="cy-GB"/>
        </w:rPr>
        <w:t>(</w:t>
      </w:r>
      <w:r w:rsidR="007C7A75">
        <w:rPr>
          <w:rFonts w:ascii="Arial" w:hAnsi="Arial" w:cs="Arial"/>
          <w:lang w:val="cy-GB"/>
        </w:rPr>
        <w:t>Gwaith Achos Myfyrwyr</w:t>
      </w:r>
      <w:r w:rsidR="00775679" w:rsidRPr="00B64CB5">
        <w:rPr>
          <w:rFonts w:ascii="Arial" w:hAnsi="Arial" w:cs="Arial"/>
          <w:lang w:val="cy-GB"/>
        </w:rPr>
        <w:t>)</w:t>
      </w:r>
      <w:r w:rsidR="007C7A75">
        <w:rPr>
          <w:rFonts w:ascii="Arial" w:hAnsi="Arial" w:cs="Arial"/>
          <w:lang w:val="cy-GB"/>
        </w:rPr>
        <w:t xml:space="preserve"> yn gyfrifol am gymeradwyo’r ildiad hawl</w:t>
      </w:r>
      <w:r w:rsidRPr="00B64CB5">
        <w:rPr>
          <w:rFonts w:ascii="Arial" w:hAnsi="Arial" w:cs="Arial"/>
          <w:lang w:val="cy-GB"/>
        </w:rPr>
        <w:t>.</w:t>
      </w: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u w:val="single"/>
          <w:lang w:val="cy-GB"/>
        </w:rPr>
      </w:pPr>
    </w:p>
    <w:p w:rsidR="00EE55BD" w:rsidRPr="007C7A75" w:rsidRDefault="007C7A75" w:rsidP="007C7A75">
      <w:pPr>
        <w:pStyle w:val="ListParagraph"/>
        <w:spacing w:after="0" w:line="240" w:lineRule="auto"/>
        <w:ind w:left="709" w:hanging="709"/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 xml:space="preserve">Argymhellion a wnaed gan Swyddfa’r Dyfarnwr Annibynnol ar gyfer Addysg Uwch </w:t>
      </w:r>
      <w:r w:rsidR="00EE55BD" w:rsidRPr="007C7A75">
        <w:rPr>
          <w:rFonts w:ascii="Arial" w:hAnsi="Arial" w:cs="Arial"/>
          <w:u w:val="single"/>
          <w:lang w:val="cy-GB"/>
        </w:rPr>
        <w:t>(OIA)</w:t>
      </w: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u w:val="single"/>
          <w:lang w:val="cy-GB"/>
        </w:rPr>
      </w:pP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lang w:val="cy-GB"/>
        </w:rPr>
      </w:pPr>
      <w:r w:rsidRPr="00B64CB5">
        <w:rPr>
          <w:rFonts w:ascii="Arial" w:hAnsi="Arial" w:cs="Arial"/>
          <w:lang w:val="cy-GB"/>
        </w:rPr>
        <w:t>7.</w:t>
      </w:r>
      <w:r w:rsidRPr="00B64CB5">
        <w:rPr>
          <w:rFonts w:ascii="Arial" w:hAnsi="Arial" w:cs="Arial"/>
          <w:lang w:val="cy-GB"/>
        </w:rPr>
        <w:tab/>
      </w:r>
      <w:r w:rsidR="007C7A75">
        <w:rPr>
          <w:rFonts w:ascii="Arial" w:hAnsi="Arial" w:cs="Arial"/>
          <w:lang w:val="cy-GB"/>
        </w:rPr>
        <w:t xml:space="preserve">Caiff argymhellion am iawndal ariannol eu gwneud o bryd i’w gilydd gan yr </w:t>
      </w:r>
      <w:r w:rsidRPr="00B64CB5">
        <w:rPr>
          <w:rFonts w:ascii="Arial" w:hAnsi="Arial" w:cs="Arial"/>
          <w:lang w:val="cy-GB"/>
        </w:rPr>
        <w:t xml:space="preserve">OIA </w:t>
      </w:r>
      <w:r w:rsidR="007C7A75">
        <w:rPr>
          <w:rFonts w:ascii="Arial" w:hAnsi="Arial" w:cs="Arial"/>
          <w:lang w:val="cy-GB"/>
        </w:rPr>
        <w:t>o ganlyniad i’w hymchwiliadau gan fyfyrwyr y Brifysgol</w:t>
      </w:r>
      <w:r w:rsidRPr="00B64CB5">
        <w:rPr>
          <w:rFonts w:ascii="Arial" w:hAnsi="Arial" w:cs="Arial"/>
          <w:lang w:val="cy-GB"/>
        </w:rPr>
        <w:t xml:space="preserve">.  </w:t>
      </w:r>
      <w:r w:rsidR="007C7A75">
        <w:rPr>
          <w:rFonts w:ascii="Arial" w:hAnsi="Arial" w:cs="Arial"/>
          <w:lang w:val="cy-GB"/>
        </w:rPr>
        <w:t>Yn yr achos hwn, dylid dilyn y gweithdrefnau o dan</w:t>
      </w:r>
      <w:r w:rsidR="00775679" w:rsidRPr="00B64CB5">
        <w:rPr>
          <w:rFonts w:ascii="Arial" w:hAnsi="Arial" w:cs="Arial"/>
          <w:lang w:val="cy-GB"/>
        </w:rPr>
        <w:t xml:space="preserve"> 2.2 a 2.3</w:t>
      </w:r>
      <w:r w:rsidR="007C7A75">
        <w:rPr>
          <w:rFonts w:ascii="Arial" w:hAnsi="Arial" w:cs="Arial"/>
          <w:lang w:val="cy-GB"/>
        </w:rPr>
        <w:t xml:space="preserve"> uchod</w:t>
      </w:r>
      <w:r w:rsidRPr="00B64CB5">
        <w:rPr>
          <w:rFonts w:ascii="Arial" w:hAnsi="Arial" w:cs="Arial"/>
          <w:lang w:val="cy-GB"/>
        </w:rPr>
        <w:t>.</w:t>
      </w:r>
    </w:p>
    <w:p w:rsidR="00EE55BD" w:rsidRPr="00B64CB5" w:rsidRDefault="00EE55BD" w:rsidP="000600A0">
      <w:pPr>
        <w:pStyle w:val="ListParagraph"/>
        <w:spacing w:after="0" w:line="240" w:lineRule="auto"/>
        <w:ind w:left="709" w:hanging="709"/>
        <w:rPr>
          <w:rFonts w:ascii="Arial" w:hAnsi="Arial" w:cs="Arial"/>
          <w:lang w:val="cy-GB"/>
        </w:rPr>
      </w:pPr>
    </w:p>
    <w:p w:rsidR="00EE55BD" w:rsidRPr="00B64CB5" w:rsidRDefault="00EE55BD" w:rsidP="000F5589">
      <w:pPr>
        <w:spacing w:after="0" w:line="240" w:lineRule="auto"/>
        <w:rPr>
          <w:rFonts w:ascii="Arial" w:hAnsi="Arial" w:cs="Arial"/>
          <w:b/>
          <w:lang w:val="cy-GB"/>
        </w:rPr>
      </w:pPr>
      <w:bookmarkStart w:id="1" w:name="cysill"/>
      <w:bookmarkEnd w:id="1"/>
    </w:p>
    <w:sectPr w:rsidR="00EE55BD" w:rsidRPr="00B64CB5" w:rsidSect="007F776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99" w:rsidRDefault="00F23B99" w:rsidP="00867EB3">
      <w:pPr>
        <w:spacing w:after="0" w:line="240" w:lineRule="auto"/>
      </w:pPr>
      <w:r>
        <w:separator/>
      </w:r>
    </w:p>
  </w:endnote>
  <w:endnote w:type="continuationSeparator" w:id="0">
    <w:p w:rsidR="00F23B99" w:rsidRDefault="00F23B99" w:rsidP="008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289"/>
      <w:docPartObj>
        <w:docPartGallery w:val="Page Numbers (Bottom of Page)"/>
        <w:docPartUnique/>
      </w:docPartObj>
    </w:sdtPr>
    <w:sdtEndPr/>
    <w:sdtContent>
      <w:p w:rsidR="00F23B99" w:rsidRDefault="00040E39">
        <w:pPr>
          <w:pStyle w:val="Footer"/>
          <w:jc w:val="right"/>
        </w:pPr>
        <w:r w:rsidRPr="00867EB3">
          <w:rPr>
            <w:sz w:val="18"/>
            <w:szCs w:val="18"/>
          </w:rPr>
          <w:fldChar w:fldCharType="begin"/>
        </w:r>
        <w:r w:rsidR="00F23B99" w:rsidRPr="00867EB3">
          <w:rPr>
            <w:sz w:val="18"/>
            <w:szCs w:val="18"/>
          </w:rPr>
          <w:instrText xml:space="preserve"> PAGE   \* MERGEFORMAT </w:instrText>
        </w:r>
        <w:r w:rsidRPr="00867EB3">
          <w:rPr>
            <w:sz w:val="18"/>
            <w:szCs w:val="18"/>
          </w:rPr>
          <w:fldChar w:fldCharType="separate"/>
        </w:r>
        <w:r w:rsidR="00660B35">
          <w:rPr>
            <w:noProof/>
            <w:sz w:val="18"/>
            <w:szCs w:val="18"/>
          </w:rPr>
          <w:t>1</w:t>
        </w:r>
        <w:r w:rsidRPr="00867EB3">
          <w:rPr>
            <w:sz w:val="18"/>
            <w:szCs w:val="18"/>
          </w:rPr>
          <w:fldChar w:fldCharType="end"/>
        </w:r>
      </w:p>
    </w:sdtContent>
  </w:sdt>
  <w:p w:rsidR="00F23B99" w:rsidRDefault="00F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99" w:rsidRDefault="00F23B99" w:rsidP="00867EB3">
      <w:pPr>
        <w:spacing w:after="0" w:line="240" w:lineRule="auto"/>
      </w:pPr>
      <w:r>
        <w:separator/>
      </w:r>
    </w:p>
  </w:footnote>
  <w:footnote w:type="continuationSeparator" w:id="0">
    <w:p w:rsidR="00F23B99" w:rsidRDefault="00F23B99" w:rsidP="0086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4E9"/>
    <w:multiLevelType w:val="hybridMultilevel"/>
    <w:tmpl w:val="5824E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689"/>
    <w:multiLevelType w:val="hybridMultilevel"/>
    <w:tmpl w:val="10C6C7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96B94"/>
    <w:multiLevelType w:val="hybridMultilevel"/>
    <w:tmpl w:val="C368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3E3"/>
    <w:multiLevelType w:val="hybridMultilevel"/>
    <w:tmpl w:val="09E0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6BA1"/>
    <w:multiLevelType w:val="hybridMultilevel"/>
    <w:tmpl w:val="B60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7026"/>
    <w:multiLevelType w:val="multilevel"/>
    <w:tmpl w:val="BD5E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57E12E58"/>
    <w:multiLevelType w:val="hybridMultilevel"/>
    <w:tmpl w:val="EB26BEE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E4362A7"/>
    <w:multiLevelType w:val="hybridMultilevel"/>
    <w:tmpl w:val="DD04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38DB"/>
    <w:multiLevelType w:val="hybridMultilevel"/>
    <w:tmpl w:val="910E4A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D357D"/>
    <w:multiLevelType w:val="hybridMultilevel"/>
    <w:tmpl w:val="5776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E"/>
    <w:rsid w:val="00013F4C"/>
    <w:rsid w:val="000273F7"/>
    <w:rsid w:val="00035BF6"/>
    <w:rsid w:val="00040E39"/>
    <w:rsid w:val="000427E7"/>
    <w:rsid w:val="00044A25"/>
    <w:rsid w:val="000600A0"/>
    <w:rsid w:val="00065E6C"/>
    <w:rsid w:val="000E005E"/>
    <w:rsid w:val="000F0468"/>
    <w:rsid w:val="000F5589"/>
    <w:rsid w:val="001A2424"/>
    <w:rsid w:val="001C7A22"/>
    <w:rsid w:val="001D33E2"/>
    <w:rsid w:val="001F077C"/>
    <w:rsid w:val="00225FB2"/>
    <w:rsid w:val="00293665"/>
    <w:rsid w:val="002A3D27"/>
    <w:rsid w:val="002A556A"/>
    <w:rsid w:val="002B58F8"/>
    <w:rsid w:val="002E7DB6"/>
    <w:rsid w:val="00335D56"/>
    <w:rsid w:val="00355465"/>
    <w:rsid w:val="00362CC6"/>
    <w:rsid w:val="00363429"/>
    <w:rsid w:val="003A6DD0"/>
    <w:rsid w:val="003B4634"/>
    <w:rsid w:val="003F7BF8"/>
    <w:rsid w:val="00413CAB"/>
    <w:rsid w:val="004463C9"/>
    <w:rsid w:val="004775D7"/>
    <w:rsid w:val="004A2EEB"/>
    <w:rsid w:val="004B1070"/>
    <w:rsid w:val="005038B3"/>
    <w:rsid w:val="00510DBB"/>
    <w:rsid w:val="00526DB3"/>
    <w:rsid w:val="00571EA7"/>
    <w:rsid w:val="005910CD"/>
    <w:rsid w:val="005928FD"/>
    <w:rsid w:val="005B4FDE"/>
    <w:rsid w:val="005D06B2"/>
    <w:rsid w:val="005F1FDB"/>
    <w:rsid w:val="006249FA"/>
    <w:rsid w:val="00660B35"/>
    <w:rsid w:val="006628E7"/>
    <w:rsid w:val="00671FCD"/>
    <w:rsid w:val="006829D6"/>
    <w:rsid w:val="006B670D"/>
    <w:rsid w:val="006C3CE3"/>
    <w:rsid w:val="006E5BBA"/>
    <w:rsid w:val="006F5548"/>
    <w:rsid w:val="00775679"/>
    <w:rsid w:val="00777396"/>
    <w:rsid w:val="007927DB"/>
    <w:rsid w:val="007C7A75"/>
    <w:rsid w:val="007D2D95"/>
    <w:rsid w:val="007D5F38"/>
    <w:rsid w:val="007E132A"/>
    <w:rsid w:val="007E4757"/>
    <w:rsid w:val="007F7763"/>
    <w:rsid w:val="00812E43"/>
    <w:rsid w:val="00867EB3"/>
    <w:rsid w:val="0096084B"/>
    <w:rsid w:val="00990958"/>
    <w:rsid w:val="009969CD"/>
    <w:rsid w:val="009A126F"/>
    <w:rsid w:val="00A043D6"/>
    <w:rsid w:val="00A33B2F"/>
    <w:rsid w:val="00A44364"/>
    <w:rsid w:val="00A664C9"/>
    <w:rsid w:val="00A9167A"/>
    <w:rsid w:val="00A9726F"/>
    <w:rsid w:val="00AF2743"/>
    <w:rsid w:val="00B3507D"/>
    <w:rsid w:val="00B352EB"/>
    <w:rsid w:val="00B471A6"/>
    <w:rsid w:val="00B638C3"/>
    <w:rsid w:val="00B64CB5"/>
    <w:rsid w:val="00BF2A93"/>
    <w:rsid w:val="00C1556C"/>
    <w:rsid w:val="00C221D8"/>
    <w:rsid w:val="00C375A7"/>
    <w:rsid w:val="00C7768A"/>
    <w:rsid w:val="00C80E1A"/>
    <w:rsid w:val="00C8542B"/>
    <w:rsid w:val="00CA7180"/>
    <w:rsid w:val="00CE35AF"/>
    <w:rsid w:val="00D24057"/>
    <w:rsid w:val="00D2634F"/>
    <w:rsid w:val="00D57129"/>
    <w:rsid w:val="00D82E97"/>
    <w:rsid w:val="00E029D8"/>
    <w:rsid w:val="00E2067A"/>
    <w:rsid w:val="00E478D9"/>
    <w:rsid w:val="00E47A4F"/>
    <w:rsid w:val="00EC4F71"/>
    <w:rsid w:val="00ED2BE0"/>
    <w:rsid w:val="00EE55BD"/>
    <w:rsid w:val="00F1597E"/>
    <w:rsid w:val="00F23B99"/>
    <w:rsid w:val="00FA12E3"/>
    <w:rsid w:val="00FE00A8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E233B-B2F5-4A1B-AD54-1388D5D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EB3"/>
  </w:style>
  <w:style w:type="paragraph" w:styleId="Footer">
    <w:name w:val="footer"/>
    <w:basedOn w:val="Normal"/>
    <w:link w:val="FooterChar"/>
    <w:uiPriority w:val="99"/>
    <w:unhideWhenUsed/>
    <w:rsid w:val="00867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B3"/>
  </w:style>
  <w:style w:type="table" w:styleId="TableGrid">
    <w:name w:val="Table Grid"/>
    <w:basedOn w:val="TableNormal"/>
    <w:uiPriority w:val="59"/>
    <w:rsid w:val="00E4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A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5/15/contents/enacted" TargetMode="External"/><Relationship Id="rId13" Type="http://schemas.openxmlformats.org/officeDocument/2006/relationships/hyperlink" Target="http://uso.southwales.ac.uk/StudentCasework/SC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428549/HE_providers_-_advice_on_consumer_protection_law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ahe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mantha.haines@southwales.ac.uk" TargetMode="External"/><Relationship Id="rId10" Type="http://schemas.openxmlformats.org/officeDocument/2006/relationships/hyperlink" Target="http://www.qaa.ac.uk/assuring-standards-and-quality/the-quality-code/quality-code-part-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anaw/2015/1/contents/enacted" TargetMode="External"/><Relationship Id="rId14" Type="http://schemas.openxmlformats.org/officeDocument/2006/relationships/hyperlink" Target="mailto:siobhan.coakley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6071-3457-46F9-920A-6456DC97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11413</Characters>
  <Application>Microsoft Office Word</Application>
  <DocSecurity>4</DocSecurity>
  <Lines>326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wm0iro</dc:creator>
  <cp:lastModifiedBy>Gwen Jones</cp:lastModifiedBy>
  <cp:revision>2</cp:revision>
  <cp:lastPrinted>2018-06-01T08:41:00Z</cp:lastPrinted>
  <dcterms:created xsi:type="dcterms:W3CDTF">2019-09-16T14:37:00Z</dcterms:created>
  <dcterms:modified xsi:type="dcterms:W3CDTF">2019-09-16T14:37:00Z</dcterms:modified>
</cp:coreProperties>
</file>